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r>
        <w:rPr>
          <w:rFonts w:hint="eastAsia" w:ascii="黑体" w:hAnsi="黑体" w:eastAsia="黑体" w:cs="黑体"/>
          <w:b w:val="0"/>
          <w:bCs w:val="0"/>
          <w:spacing w:val="15"/>
          <w:sz w:val="32"/>
          <w:szCs w:val="32"/>
          <w:highlight w:val="none"/>
        </w:rPr>
        <w:t>：</w:t>
      </w:r>
      <w:r>
        <w:rPr>
          <w:rFonts w:hint="eastAsia" w:ascii="黑体" w:hAnsi="黑体" w:eastAsia="黑体" w:cs="黑体"/>
          <w:b w:val="0"/>
          <w:bCs w:val="0"/>
          <w:spacing w:val="15"/>
          <w:sz w:val="32"/>
          <w:szCs w:val="32"/>
          <w:highlight w:val="none"/>
          <w:lang w:eastAsia="zh-CN"/>
        </w:rPr>
        <w:t>县级</w:t>
      </w:r>
      <w:r>
        <w:rPr>
          <w:rFonts w:hint="eastAsia" w:ascii="黑体" w:hAnsi="黑体" w:eastAsia="黑体" w:cs="黑体"/>
          <w:b w:val="0"/>
          <w:bCs w:val="0"/>
          <w:spacing w:val="15"/>
          <w:sz w:val="32"/>
          <w:szCs w:val="32"/>
          <w:highlight w:val="none"/>
        </w:rPr>
        <w:t>部门</w:t>
      </w:r>
      <w:r>
        <w:rPr>
          <w:rFonts w:hint="eastAsia" w:ascii="黑体" w:hAnsi="黑体" w:eastAsia="黑体" w:cs="黑体"/>
          <w:b w:val="0"/>
          <w:bCs w:val="0"/>
          <w:spacing w:val="15"/>
          <w:sz w:val="32"/>
          <w:szCs w:val="32"/>
          <w:highlight w:val="none"/>
          <w:lang w:eastAsia="zh-CN"/>
        </w:rPr>
        <w:t>（单位）</w:t>
      </w:r>
      <w:r>
        <w:rPr>
          <w:rFonts w:hint="eastAsia" w:ascii="黑体" w:hAnsi="黑体" w:eastAsia="黑体" w:cs="黑体"/>
          <w:b w:val="0"/>
          <w:bCs w:val="0"/>
          <w:spacing w:val="15"/>
          <w:sz w:val="32"/>
          <w:szCs w:val="32"/>
          <w:highlight w:val="none"/>
        </w:rPr>
        <w:t>预算公开说明样式</w:t>
      </w:r>
    </w:p>
    <w:p>
      <w:pPr>
        <w:keepNext w:val="0"/>
        <w:keepLines w:val="0"/>
        <w:pageBreakBefore w:val="0"/>
        <w:kinsoku/>
        <w:wordWrap/>
        <w:overflowPunct/>
        <w:topLinePunct w:val="0"/>
        <w:bidi w:val="0"/>
        <w:spacing w:beforeLines="0" w:afterLines="0" w:line="560" w:lineRule="exact"/>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Style w:val="6"/>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常山县油茶产业发展中心</w:t>
      </w:r>
      <w:r>
        <w:rPr>
          <w:rFonts w:hint="eastAsia" w:ascii="方正小标宋简体" w:hAnsi="方正小标宋简体" w:eastAsia="方正小标宋简体" w:cs="方正小标宋简体"/>
          <w:bCs/>
          <w:spacing w:val="15"/>
          <w:sz w:val="44"/>
          <w:szCs w:val="44"/>
          <w:highlight w:val="none"/>
          <w:lang w:val="en-US" w:eastAsia="zh-CN"/>
        </w:rPr>
        <w:t>2021</w:t>
      </w:r>
      <w:r>
        <w:rPr>
          <w:rFonts w:hint="eastAsia" w:ascii="方正小标宋简体" w:hAnsi="方正小标宋简体" w:eastAsia="方正小标宋简体" w:cs="方正小标宋简体"/>
          <w:bCs/>
          <w:spacing w:val="15"/>
          <w:sz w:val="44"/>
          <w:szCs w:val="44"/>
          <w:highlight w:val="none"/>
        </w:rPr>
        <w:t>年部门</w:t>
      </w:r>
      <w:r>
        <w:rPr>
          <w:rFonts w:hint="eastAsia" w:ascii="方正小标宋简体" w:hAnsi="方正小标宋简体" w:eastAsia="方正小标宋简体" w:cs="方正小标宋简体"/>
          <w:bCs/>
          <w:spacing w:val="15"/>
          <w:sz w:val="44"/>
          <w:szCs w:val="44"/>
          <w:highlight w:val="none"/>
          <w:lang w:eastAsia="zh-CN"/>
        </w:rPr>
        <w:t>（</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6"/>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rPr>
        <w:t>一、</w:t>
      </w:r>
      <w:r>
        <w:rPr>
          <w:rStyle w:val="6"/>
          <w:rFonts w:hint="eastAsia" w:ascii="黑体" w:eastAsia="黑体"/>
          <w:b w:val="0"/>
          <w:color w:val="000000"/>
          <w:sz w:val="32"/>
          <w:szCs w:val="32"/>
          <w:highlight w:val="none"/>
          <w:lang w:eastAsia="zh-CN"/>
        </w:rPr>
        <w:t>常山县</w:t>
      </w:r>
      <w:r>
        <w:rPr>
          <w:rStyle w:val="6"/>
          <w:rFonts w:hint="eastAsia" w:ascii="黑体" w:eastAsia="黑体"/>
          <w:b w:val="0"/>
          <w:color w:val="000000"/>
          <w:sz w:val="32"/>
          <w:szCs w:val="32"/>
          <w:highlight w:val="none"/>
          <w:lang w:val="en-US" w:eastAsia="zh-CN"/>
        </w:rPr>
        <w:t>油茶产业发展中心</w:t>
      </w:r>
      <w:r>
        <w:rPr>
          <w:rStyle w:val="6"/>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numPr>
          <w:ilvl w:val="0"/>
          <w:numId w:val="1"/>
        </w:numPr>
        <w:spacing w:line="300" w:lineRule="auto"/>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eastAsia="zh-CN"/>
        </w:rPr>
        <w:t>研究制定全县油茶产业发展目标、规划的实施</w:t>
      </w:r>
      <w:r>
        <w:rPr>
          <w:rFonts w:hint="eastAsia" w:ascii="仿宋_GB2312" w:eastAsia="仿宋_GB2312"/>
          <w:bCs/>
          <w:sz w:val="32"/>
          <w:szCs w:val="32"/>
          <w:lang w:val="en-US" w:eastAsia="zh-CN"/>
        </w:rPr>
        <w:t xml:space="preserve"> </w:t>
      </w:r>
    </w:p>
    <w:p>
      <w:pPr>
        <w:numPr>
          <w:ilvl w:val="0"/>
          <w:numId w:val="1"/>
        </w:numPr>
        <w:spacing w:line="300" w:lineRule="auto"/>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负责中心长远和年度计划的编制申报</w:t>
      </w:r>
    </w:p>
    <w:p>
      <w:pPr>
        <w:numPr>
          <w:ilvl w:val="0"/>
          <w:numId w:val="1"/>
        </w:numPr>
        <w:spacing w:line="300" w:lineRule="auto"/>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负责指导资源保护、生产经营、科技研发、观光休闲等项目规划和投资建设</w:t>
      </w:r>
    </w:p>
    <w:p>
      <w:pPr>
        <w:numPr>
          <w:ilvl w:val="0"/>
          <w:numId w:val="1"/>
        </w:numPr>
        <w:spacing w:line="300" w:lineRule="auto"/>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负责中心招商引资</w:t>
      </w:r>
    </w:p>
    <w:p>
      <w:pPr>
        <w:numPr>
          <w:ilvl w:val="0"/>
          <w:numId w:val="2"/>
        </w:numPr>
        <w:spacing w:line="300" w:lineRule="auto"/>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负责日常管理和对外交流等工作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6"/>
          <w:rFonts w:hint="eastAsia" w:ascii="黑体" w:eastAsia="黑体"/>
          <w:b w:val="0"/>
          <w:color w:val="000000"/>
          <w:sz w:val="32"/>
          <w:szCs w:val="32"/>
          <w:highlight w:val="none"/>
          <w:lang w:val="en-US" w:eastAsia="zh-CN"/>
        </w:rPr>
        <w:t xml:space="preserve">    </w:t>
      </w:r>
      <w:r>
        <w:rPr>
          <w:rStyle w:val="6"/>
          <w:rFonts w:hint="eastAsia" w:ascii="黑体" w:eastAsia="黑体"/>
          <w:b w:val="0"/>
          <w:color w:val="000000"/>
          <w:sz w:val="32"/>
          <w:szCs w:val="32"/>
          <w:highlight w:val="none"/>
          <w:lang w:eastAsia="zh-CN"/>
        </w:rPr>
        <w:t>二、常山县</w:t>
      </w:r>
      <w:r>
        <w:rPr>
          <w:rStyle w:val="6"/>
          <w:rFonts w:hint="eastAsia" w:ascii="黑体" w:eastAsia="黑体"/>
          <w:b w:val="0"/>
          <w:color w:val="000000"/>
          <w:sz w:val="32"/>
          <w:szCs w:val="32"/>
          <w:highlight w:val="none"/>
          <w:lang w:val="en-US" w:eastAsia="zh-CN"/>
        </w:rPr>
        <w:t>油茶产业发展中心2021</w:t>
      </w:r>
      <w:r>
        <w:rPr>
          <w:rStyle w:val="6"/>
          <w:rFonts w:hint="eastAsia" w:ascii="黑体" w:eastAsia="黑体"/>
          <w:b w:val="0"/>
          <w:color w:val="000000"/>
          <w:sz w:val="32"/>
          <w:szCs w:val="32"/>
          <w:highlight w:val="none"/>
        </w:rPr>
        <w:t>年部门</w:t>
      </w:r>
      <w:r>
        <w:rPr>
          <w:rStyle w:val="6"/>
          <w:rFonts w:hint="eastAsia" w:ascii="黑体" w:eastAsia="黑体"/>
          <w:b w:val="0"/>
          <w:color w:val="000000"/>
          <w:sz w:val="32"/>
          <w:szCs w:val="32"/>
          <w:highlight w:val="none"/>
          <w:lang w:eastAsia="zh-CN"/>
        </w:rPr>
        <w:t>（</w:t>
      </w:r>
      <w:r>
        <w:rPr>
          <w:rStyle w:val="6"/>
          <w:rFonts w:hint="eastAsia" w:ascii="黑体" w:eastAsia="黑体"/>
          <w:b w:val="0"/>
          <w:color w:val="000000"/>
          <w:sz w:val="32"/>
          <w:szCs w:val="32"/>
          <w:highlight w:val="none"/>
          <w:lang w:val="en-US" w:eastAsia="zh-CN"/>
        </w:rPr>
        <w:t>单位</w:t>
      </w:r>
      <w:r>
        <w:rPr>
          <w:rStyle w:val="6"/>
          <w:rFonts w:hint="eastAsia" w:ascii="黑体" w:eastAsia="黑体"/>
          <w:b w:val="0"/>
          <w:color w:val="000000"/>
          <w:sz w:val="32"/>
          <w:szCs w:val="32"/>
          <w:highlight w:val="none"/>
          <w:lang w:eastAsia="zh-CN"/>
        </w:rPr>
        <w:t>）</w:t>
      </w:r>
      <w:r>
        <w:rPr>
          <w:rStyle w:val="6"/>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w:t>
      </w:r>
      <w:r>
        <w:rPr>
          <w:rStyle w:val="6"/>
          <w:rFonts w:hint="eastAsia" w:ascii="楷体_GB2312" w:hAnsi="楷体_GB2312" w:eastAsia="楷体_GB2312" w:cs="楷体_GB2312"/>
          <w:b/>
          <w:color w:val="000000"/>
          <w:sz w:val="32"/>
          <w:szCs w:val="32"/>
          <w:highlight w:val="none"/>
          <w:lang w:val="en-US" w:eastAsia="zh-CN"/>
        </w:rPr>
        <w:t>21</w:t>
      </w:r>
      <w:r>
        <w:rPr>
          <w:rStyle w:val="6"/>
          <w:rFonts w:hint="eastAsia" w:ascii="楷体_GB2312" w:hAnsi="楷体_GB2312" w:eastAsia="楷体_GB2312" w:cs="楷体_GB2312"/>
          <w:b/>
          <w:color w:val="000000"/>
          <w:sz w:val="32"/>
          <w:szCs w:val="32"/>
          <w:highlight w:val="none"/>
        </w:rPr>
        <w:t>年</w:t>
      </w:r>
      <w:r>
        <w:rPr>
          <w:rStyle w:val="6"/>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综合预算的原则，常山县油茶产业发展中心</w:t>
      </w:r>
      <w:r>
        <w:rPr>
          <w:rFonts w:hint="eastAsia" w:ascii="仿宋_GB2312" w:eastAsia="仿宋_GB2312"/>
          <w:color w:val="000000"/>
          <w:sz w:val="32"/>
          <w:szCs w:val="32"/>
          <w:highlight w:val="none"/>
          <w:lang w:eastAsia="zh-CN"/>
        </w:rPr>
        <w:t>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）预算管理。收入包括：一般公共预算拨款收入；支出包括：一般公共服务支出、社会保障和就业支出、卫生健康支出、住房保障支出。</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油茶产业发展中心2021年收支总预算402.49万元。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402.49</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402.49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lang w:eastAsia="zh-CN"/>
        </w:rPr>
        <w:t>年支出预算情况说明</w:t>
      </w:r>
      <w:r>
        <w:rPr>
          <w:rFonts w:hint="eastAsia" w:ascii="楷体_GB2312" w:hAnsi="楷体_GB2312" w:eastAsia="楷体_GB2312" w:cs="楷体_GB2312"/>
          <w:b/>
          <w:color w:val="000000"/>
          <w:sz w:val="32"/>
          <w:szCs w:val="32"/>
          <w:highlight w:val="none"/>
          <w:lang w:eastAsia="zh-CN"/>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402.49</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301.13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30.42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28.71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、商业服务业等支出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、金融支出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、援助其他地区支出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42.23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、粮油物资储备支出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、债务付息支出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、债务发行费用支出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349.04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86.72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34.59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18.86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4.68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上缴上级支出0万元，占0%；</w:t>
      </w:r>
      <w:r>
        <w:rPr>
          <w:rFonts w:hint="eastAsia" w:ascii="仿宋_GB2312" w:eastAsia="仿宋_GB2312"/>
          <w:color w:val="000000"/>
          <w:sz w:val="32"/>
          <w:szCs w:val="32"/>
          <w:highlight w:val="none"/>
          <w:lang w:eastAsia="zh-CN"/>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油茶产业发展中心2021年财政拨款收支总预算402.49万元。收入包括：一般公共预算402.49万元；支出包括：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301.13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30.42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28.71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42.23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r>
        <w:rPr>
          <w:rFonts w:hint="eastAsia" w:ascii="仿宋_GB2312" w:eastAsia="仿宋_GB2312" w:cs="Times New Roman"/>
          <w:b/>
          <w:bCs/>
          <w:color w:val="000000"/>
          <w:sz w:val="32"/>
          <w:szCs w:val="32"/>
          <w:highlight w:val="none"/>
          <w:lang w:val="en-US" w:eastAsia="zh-CN"/>
        </w:rPr>
        <w:t>（根据表04实际情况表述）</w:t>
      </w:r>
    </w:p>
    <w:p>
      <w:pPr>
        <w:keepNext w:val="0"/>
        <w:keepLines w:val="0"/>
        <w:pageBreakBefore w:val="0"/>
        <w:numPr>
          <w:ilvl w:val="0"/>
          <w:numId w:val="3"/>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油茶产业发展中心2021年一般公共预算当年拨款402.49万元，比上年执行数减少316.25万元，主要是项目减少。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一般公共服务（类）支出</w:t>
      </w:r>
      <w:r>
        <w:rPr>
          <w:rFonts w:hint="eastAsia" w:ascii="仿宋_GB2312" w:eastAsia="仿宋_GB2312"/>
          <w:color w:val="000000"/>
          <w:sz w:val="32"/>
          <w:szCs w:val="32"/>
          <w:highlight w:val="none"/>
          <w:lang w:val="en-US" w:eastAsia="zh-CN"/>
        </w:rPr>
        <w:t>343.36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85.31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30.42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7.56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28.71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s="Times New Roman"/>
          <w:b/>
          <w:bCs/>
          <w:color w:val="000000"/>
          <w:sz w:val="32"/>
          <w:szCs w:val="32"/>
          <w:highlight w:val="none"/>
          <w:lang w:val="en-US" w:eastAsia="zh-CN"/>
        </w:rPr>
        <w:t>（根据表05实际情况表述）</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spacing w:line="300" w:lineRule="auto"/>
        <w:ind w:firstLine="640"/>
        <w:jc w:val="lef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201</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03</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01</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324.5</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lang w:eastAsia="zh-CN"/>
        </w:rPr>
        <w:t>在职人员工资、津贴、住房公积金、奖金年休假的发放。</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208</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20.28</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单位职工</w:t>
      </w:r>
      <w:r>
        <w:rPr>
          <w:rFonts w:hint="eastAsia" w:ascii="仿宋_GB2312" w:eastAsia="仿宋_GB2312"/>
          <w:sz w:val="32"/>
          <w:szCs w:val="32"/>
          <w:lang w:eastAsia="zh-CN"/>
        </w:rPr>
        <w:t>养老保险缴纳</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208</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06</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10.14</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职工</w:t>
      </w:r>
      <w:r>
        <w:rPr>
          <w:rFonts w:hint="eastAsia" w:ascii="仿宋_GB2312" w:eastAsia="仿宋_GB2312"/>
          <w:sz w:val="32"/>
          <w:szCs w:val="32"/>
          <w:lang w:eastAsia="zh-CN"/>
        </w:rPr>
        <w:t>职业年金缴纳</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210</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01</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28.71</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职工医疗保险</w:t>
      </w:r>
      <w:r>
        <w:rPr>
          <w:rFonts w:hint="eastAsia" w:ascii="仿宋_GB2312" w:eastAsia="仿宋_GB2312"/>
          <w:sz w:val="32"/>
          <w:szCs w:val="32"/>
          <w:lang w:eastAsia="zh-CN"/>
        </w:rPr>
        <w:t>缴纳</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383.63万元，其中：</w:t>
      </w: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349.04</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其他社会保障缴费、住房公积金、其他工资福利支出、离休费、退休费、生活补助、奖励金、其他对个人和家庭的补助</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公用经费34.59万元，主要包括：办公费、印刷费、咨询费、电费、水费、邮电费、差旅费、会议费、培训费、公务接待费、专用材料费、委托业务费、工会经费、福利费、其他商品和服务等支出</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油茶产业发展中心2021年没有使用政府性基金预算拨款安排的支出。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eastAsia="zh-CN"/>
        </w:rPr>
        <w:t>（单位）</w:t>
      </w:r>
      <w:r>
        <w:rPr>
          <w:rFonts w:hint="eastAsia" w:ascii="仿宋_GB2312" w:eastAsia="仿宋_GB2312"/>
          <w:color w:val="000000"/>
          <w:sz w:val="32"/>
          <w:szCs w:val="32"/>
          <w:highlight w:val="none"/>
          <w:lang w:val="en-US" w:eastAsia="zh-CN"/>
        </w:rPr>
        <w:t>2021年政府性基金预算当年拨款</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万元，比2020年执行数增加（减少）</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万元，主要是……。</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科学技术（类）支出</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万元，占</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%；其他（类）支出</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万元，占</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w:t>
      </w:r>
      <w:r>
        <w:rPr>
          <w:rFonts w:hint="eastAsia" w:ascii="仿宋_GB2312" w:eastAsia="仿宋_GB2312" w:cs="Times New Roman"/>
          <w:b/>
          <w:bCs/>
          <w:color w:val="000000"/>
          <w:sz w:val="32"/>
          <w:szCs w:val="32"/>
          <w:highlight w:val="none"/>
          <w:lang w:val="en-US" w:eastAsia="zh-CN"/>
        </w:rPr>
        <w:t>（根据表08实际情况表述）</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XX（类）XX（款）XX（项）XX万元，主要用于</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XX（类）XX（款）XX（项）XX万元，主要用于</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XX（类）XX（款）XX（项）XX万元，主要用于</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477" w:leftChars="227" w:right="0" w:rightChars="0" w:firstLine="0" w:firstLineChars="0"/>
        <w:textAlignment w:val="auto"/>
        <w:outlineLvl w:val="9"/>
        <w:rPr>
          <w:rFonts w:ascii="仿宋_GB2312" w:eastAsia="仿宋_GB2312"/>
          <w:color w:val="000000"/>
          <w:sz w:val="32"/>
          <w:szCs w:val="32"/>
          <w:highlight w:val="none"/>
        </w:rPr>
      </w:pPr>
      <w:r>
        <w:rPr>
          <w:rFonts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（八）关于常山县</w:t>
      </w:r>
      <w:r>
        <w:rPr>
          <w:rFonts w:hint="eastAsia" w:ascii="楷体_GB2312" w:hAnsi="楷体_GB2312" w:eastAsia="楷体_GB2312" w:cs="楷体_GB2312"/>
          <w:b/>
          <w:color w:val="000000"/>
          <w:sz w:val="32"/>
          <w:szCs w:val="32"/>
          <w:highlight w:val="none"/>
          <w:lang w:val="en-US" w:eastAsia="zh-CN"/>
        </w:rPr>
        <w:t>油茶产业发展中心2021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2.3</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比上年执行数增加0.31万元，增长15.58 %</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%。主要用于机关及下属预算单位人员的</w:t>
      </w:r>
      <w:r>
        <w:rPr>
          <w:rFonts w:hint="eastAsia" w:ascii="仿宋_GB2312" w:hAnsi="仿宋_GB2312" w:eastAsia="仿宋_GB2312" w:cs="仿宋_GB2312"/>
          <w:sz w:val="32"/>
          <w:szCs w:val="32"/>
          <w:highlight w:val="none"/>
          <w:lang w:val="en-US" w:eastAsia="zh-CN"/>
        </w:rPr>
        <w:t>计划和实际工作需要</w:t>
      </w:r>
      <w:r>
        <w:rPr>
          <w:rFonts w:hint="eastAsia" w:ascii="仿宋_GB2312" w:hAnsi="仿宋_GB2312" w:eastAsia="仿宋_GB2312" w:cs="仿宋_GB2312"/>
          <w:sz w:val="32"/>
          <w:szCs w:val="32"/>
          <w:highlight w:val="none"/>
        </w:rPr>
        <w:t>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hAnsi="仿宋_GB2312" w:eastAsia="仿宋_GB2312" w:cs="仿宋_GB2312"/>
          <w:b w:val="0"/>
          <w:bCs w:val="0"/>
          <w:sz w:val="32"/>
          <w:szCs w:val="32"/>
          <w:highlight w:val="none"/>
          <w:lang w:eastAsia="zh-CN"/>
        </w:rPr>
        <w:t>增加（减少）的主要原因是单</w:t>
      </w:r>
      <w:r>
        <w:rPr>
          <w:rFonts w:hint="eastAsia" w:ascii="仿宋_GB2312" w:hAnsi="仿宋_GB2312" w:eastAsia="仿宋_GB2312" w:cs="仿宋_GB2312"/>
          <w:b w:val="0"/>
          <w:bCs w:val="0"/>
          <w:sz w:val="32"/>
          <w:szCs w:val="32"/>
          <w:highlight w:val="none"/>
          <w:lang w:val="en-US" w:eastAsia="zh-CN"/>
        </w:rPr>
        <w:t>位没有外事部门安排的因公出国计划和实际工作需要</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eastAsia="zh-CN"/>
        </w:rPr>
        <w:t>2.公务接待费：</w:t>
      </w:r>
      <w:r>
        <w:rPr>
          <w:rFonts w:hint="eastAsia" w:ascii="仿宋_GB2312" w:hAnsi="仿宋_GB2312" w:eastAsia="仿宋_GB2312" w:cs="仿宋_GB2312"/>
          <w:b w:val="0"/>
          <w:bCs w:val="0"/>
          <w:sz w:val="32"/>
          <w:szCs w:val="32"/>
          <w:highlight w:val="none"/>
          <w:lang w:val="en-US" w:eastAsia="zh-CN"/>
        </w:rPr>
        <w:t>2021</w:t>
      </w:r>
      <w:r>
        <w:rPr>
          <w:rFonts w:hint="eastAsia" w:ascii="仿宋_GB2312" w:hAnsi="仿宋_GB2312" w:eastAsia="仿宋_GB2312" w:cs="仿宋_GB2312"/>
          <w:b w:val="0"/>
          <w:bCs w:val="0"/>
          <w:sz w:val="32"/>
          <w:szCs w:val="32"/>
          <w:highlight w:val="none"/>
          <w:lang w:eastAsia="zh-CN"/>
        </w:rPr>
        <w:t>年安排公务接待费预算</w:t>
      </w:r>
      <w:r>
        <w:rPr>
          <w:rFonts w:hint="eastAsia" w:ascii="仿宋_GB2312" w:hAnsi="仿宋_GB2312" w:eastAsia="仿宋_GB2312" w:cs="仿宋_GB2312"/>
          <w:b w:val="0"/>
          <w:bCs w:val="0"/>
          <w:sz w:val="32"/>
          <w:szCs w:val="32"/>
          <w:highlight w:val="none"/>
          <w:lang w:val="en-US" w:eastAsia="zh-CN"/>
        </w:rPr>
        <w:t>2.3</w:t>
      </w:r>
      <w:r>
        <w:rPr>
          <w:rFonts w:hint="eastAsia" w:ascii="仿宋_GB2312" w:hAnsi="仿宋_GB2312" w:eastAsia="仿宋_GB2312" w:cs="仿宋_GB2312"/>
          <w:b w:val="0"/>
          <w:bCs w:val="0"/>
          <w:sz w:val="32"/>
          <w:szCs w:val="32"/>
          <w:highlight w:val="none"/>
          <w:lang w:eastAsia="zh-CN"/>
        </w:rPr>
        <w:t>万元，</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lang w:val="en-US" w:eastAsia="zh-CN"/>
        </w:rPr>
        <w:t>15.58</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val="en-US" w:eastAsia="zh-CN"/>
        </w:rPr>
        <w:t>基地建设及项目对接招待</w:t>
      </w:r>
      <w:r>
        <w:rPr>
          <w:rFonts w:hint="eastAsia" w:ascii="仿宋_GB2312" w:hAnsi="仿宋_GB2312" w:eastAsia="仿宋_GB2312" w:cs="仿宋_GB2312"/>
          <w:sz w:val="32"/>
          <w:szCs w:val="32"/>
          <w:highlight w:val="none"/>
        </w:rPr>
        <w:t>等支出。</w:t>
      </w:r>
      <w:r>
        <w:rPr>
          <w:rFonts w:hint="eastAsia" w:ascii="仿宋_GB2312" w:hAnsi="仿宋_GB2312" w:eastAsia="仿宋_GB2312" w:cs="仿宋_GB2312"/>
          <w:b w:val="0"/>
          <w:bCs w:val="0"/>
          <w:sz w:val="32"/>
          <w:szCs w:val="32"/>
          <w:highlight w:val="none"/>
          <w:lang w:eastAsia="zh-CN"/>
        </w:rPr>
        <w:t>增加的主要原因是原浙江省常山油茶研究所与常山县油茶产业发展中心合并，基地建设及项目对接工作增多。</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执行数增长（</w:t>
      </w:r>
      <w:r>
        <w:rPr>
          <w:rFonts w:hint="eastAsia" w:ascii="仿宋_GB2312" w:eastAsia="仿宋_GB2312"/>
          <w:sz w:val="32"/>
          <w:szCs w:val="32"/>
          <w:highlight w:val="none"/>
        </w:rPr>
        <w:t>下降</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万元，主要用于</w:t>
      </w:r>
      <w:r>
        <w:rPr>
          <w:rFonts w:hint="eastAsia" w:ascii="仿宋_GB2312" w:eastAsia="仿宋_GB2312"/>
          <w:sz w:val="32"/>
          <w:szCs w:val="32"/>
          <w:highlight w:val="none"/>
          <w:lang w:eastAsia="zh-CN"/>
        </w:rPr>
        <w:t>办事</w:t>
      </w:r>
      <w:r>
        <w:rPr>
          <w:rFonts w:hint="eastAsia" w:ascii="仿宋_GB2312" w:eastAsia="仿宋_GB2312"/>
          <w:sz w:val="32"/>
          <w:szCs w:val="32"/>
          <w:highlight w:val="none"/>
        </w:rPr>
        <w:t>等所需的公务用车燃料费、维修费、过桥过路费、保险费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增加（减少）的主要原因是单位无公务用车。</w:t>
      </w:r>
      <w:r>
        <w:rPr>
          <w:rFonts w:hint="eastAsia" w:ascii="仿宋_GB2312" w:eastAsia="仿宋_GB2312" w:cs="Times New Roman"/>
          <w:b/>
          <w:bCs/>
          <w:color w:val="000000"/>
          <w:sz w:val="32"/>
          <w:szCs w:val="32"/>
          <w:highlight w:val="none"/>
          <w:lang w:val="en-US" w:eastAsia="zh-CN"/>
        </w:rPr>
        <w:t>（根据表07实际情况表述）</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w:t>
      </w:r>
      <w:r>
        <w:rPr>
          <w:rFonts w:hint="eastAsia" w:ascii="仿宋_GB2312" w:eastAsia="仿宋_GB2312"/>
          <w:color w:val="000000"/>
          <w:sz w:val="32"/>
          <w:szCs w:val="32"/>
          <w:highlight w:val="none"/>
          <w:lang w:eastAsia="zh-CN"/>
        </w:rPr>
        <w:t>机关运行经费财政拨款预算</w:t>
      </w:r>
      <w:r>
        <w:rPr>
          <w:rFonts w:hint="eastAsia" w:ascii="仿宋_GB2312" w:eastAsia="仿宋_GB2312"/>
          <w:color w:val="000000"/>
          <w:sz w:val="32"/>
          <w:szCs w:val="32"/>
          <w:highlight w:val="none"/>
          <w:lang w:val="en-US" w:eastAsia="zh-CN"/>
        </w:rPr>
        <w:t>383.63万元。</w:t>
      </w:r>
    </w:p>
    <w:p>
      <w:pPr>
        <w:pStyle w:val="13"/>
        <w:keepNext w:val="0"/>
        <w:keepLines w:val="0"/>
        <w:pageBreakBefore w:val="0"/>
        <w:numPr>
          <w:ilvl w:val="0"/>
          <w:numId w:val="4"/>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0.26万元，其中：政府采购货物预算0.26万元、政府采购工程预算0万元、政府采购服务预算0万元。</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pacing w:val="6"/>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辆，其中，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安排购置车辆0辆，其中，机要通信用车及应急保障用车0辆、执法执勤用车0辆、特种专业技术用车0辆、老干部服务用车0辆、行政执法专用车0辆。2021年部门预算安排购置单位价值50万元以上通用设备0台（套），单位价值100万元以上专用设备0台（套）。</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w:t>
      </w:r>
      <w:r>
        <w:rPr>
          <w:rFonts w:hint="eastAsia" w:ascii="仿宋_GB2312" w:eastAsia="仿宋_GB2312"/>
          <w:color w:val="000000"/>
          <w:sz w:val="32"/>
          <w:szCs w:val="32"/>
          <w:highlight w:val="none"/>
          <w:lang w:eastAsia="zh-CN"/>
        </w:rPr>
        <w:t>常山县</w:t>
      </w:r>
      <w:r>
        <w:rPr>
          <w:rFonts w:hint="eastAsia" w:ascii="仿宋_GB2312" w:eastAsia="仿宋_GB2312"/>
          <w:color w:val="000000"/>
          <w:sz w:val="32"/>
          <w:szCs w:val="32"/>
          <w:highlight w:val="none"/>
          <w:lang w:val="en-US" w:eastAsia="zh-CN"/>
        </w:rPr>
        <w:t>油茶产业发展中心</w:t>
      </w:r>
      <w:r>
        <w:rPr>
          <w:rFonts w:hint="eastAsia" w:ascii="仿宋_GB2312" w:hAnsi="仿宋_GB2312" w:eastAsia="仿宋_GB2312" w:cs="仿宋_GB2312"/>
          <w:color w:val="auto"/>
          <w:sz w:val="32"/>
          <w:szCs w:val="32"/>
          <w:highlight w:val="none"/>
          <w:lang w:val="en-US" w:eastAsia="zh-CN"/>
        </w:rPr>
        <w:t>其他运转类项目和特定目标类项目0%已实行绩效目标管理。</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6"/>
          <w:rFonts w:hint="eastAsia" w:ascii="黑体" w:hAnsi="黑体" w:eastAsia="黑体" w:cs="黑体"/>
          <w:b w:val="0"/>
          <w:bCs w:val="0"/>
          <w:sz w:val="32"/>
          <w:szCs w:val="32"/>
          <w:highlight w:val="none"/>
        </w:rPr>
      </w:pPr>
      <w:r>
        <w:rPr>
          <w:rStyle w:val="6"/>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w:t>
      </w:r>
      <w:r>
        <w:rPr>
          <w:rFonts w:hint="eastAsia" w:ascii="仿宋_GB2312" w:eastAsia="仿宋_GB2312"/>
          <w:color w:val="000000"/>
          <w:sz w:val="32"/>
          <w:szCs w:val="32"/>
          <w:highlight w:val="none"/>
          <w:lang w:val="en-US" w:eastAsia="zh-CN"/>
        </w:rPr>
        <w:t>201</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03</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01</w:t>
      </w:r>
      <w:r>
        <w:rPr>
          <w:rFonts w:hint="eastAsia" w:ascii="仿宋_GB2312" w:eastAsia="仿宋_GB2312"/>
          <w:color w:val="000000"/>
          <w:sz w:val="32"/>
          <w:szCs w:val="32"/>
          <w:highlight w:val="none"/>
        </w:rPr>
        <w:t>（项）</w:t>
      </w:r>
      <w:r>
        <w:rPr>
          <w:rFonts w:hint="eastAsia" w:ascii="仿宋_GB2312" w:hAnsi="仿宋_GB2312" w:eastAsia="仿宋_GB2312" w:cs="仿宋_GB2312"/>
          <w:color w:val="auto"/>
          <w:sz w:val="32"/>
          <w:szCs w:val="32"/>
          <w:highlight w:val="none"/>
          <w:lang w:val="en-US" w:eastAsia="zh-CN"/>
        </w:rPr>
        <w:t>：指行政运行，</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lang w:eastAsia="zh-CN"/>
        </w:rPr>
        <w:t>在职人员工资、津贴、住房公积金、奖金年休假的发放</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w:t>
      </w:r>
      <w:r>
        <w:rPr>
          <w:rFonts w:hint="eastAsia" w:ascii="仿宋_GB2312" w:eastAsia="仿宋_GB2312"/>
          <w:color w:val="000000"/>
          <w:sz w:val="32"/>
          <w:szCs w:val="32"/>
          <w:highlight w:val="none"/>
          <w:lang w:val="en-US" w:eastAsia="zh-CN"/>
        </w:rPr>
        <w:t>208</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（项）</w:t>
      </w:r>
      <w:r>
        <w:rPr>
          <w:rFonts w:hint="eastAsia" w:ascii="仿宋_GB2312" w:hAnsi="仿宋_GB2312" w:eastAsia="仿宋_GB2312" w:cs="仿宋_GB2312"/>
          <w:color w:val="auto"/>
          <w:sz w:val="32"/>
          <w:szCs w:val="32"/>
          <w:highlight w:val="none"/>
          <w:lang w:val="en-US" w:eastAsia="zh-CN"/>
        </w:rPr>
        <w:t>：指机关事业单位基本养老保险缴费支出，</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highlight w:val="none"/>
          <w:lang w:eastAsia="zh-CN"/>
        </w:rPr>
        <w:t>单位职工</w:t>
      </w:r>
      <w:r>
        <w:rPr>
          <w:rFonts w:hint="eastAsia" w:ascii="仿宋_GB2312" w:eastAsia="仿宋_GB2312"/>
          <w:sz w:val="32"/>
          <w:szCs w:val="32"/>
          <w:lang w:eastAsia="zh-CN"/>
        </w:rPr>
        <w:t>养老保险缴纳</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eastAsia="仿宋_GB2312"/>
          <w:color w:val="000000"/>
          <w:sz w:val="32"/>
          <w:szCs w:val="32"/>
          <w:highlight w:val="none"/>
          <w:lang w:val="en-US" w:eastAsia="zh-CN"/>
        </w:rPr>
        <w:t>208</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06</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指机关事业单位职业年金缴费支出，</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highlight w:val="none"/>
          <w:lang w:eastAsia="zh-CN"/>
        </w:rPr>
        <w:t>职工</w:t>
      </w:r>
      <w:r>
        <w:rPr>
          <w:rFonts w:hint="eastAsia" w:ascii="仿宋_GB2312" w:eastAsia="仿宋_GB2312"/>
          <w:sz w:val="32"/>
          <w:szCs w:val="32"/>
          <w:lang w:eastAsia="zh-CN"/>
        </w:rPr>
        <w:t>职业年金缴纳</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w:t>
      </w:r>
      <w:r>
        <w:rPr>
          <w:rFonts w:hint="eastAsia" w:ascii="仿宋_GB2312" w:eastAsia="仿宋_GB2312"/>
          <w:color w:val="000000"/>
          <w:sz w:val="32"/>
          <w:szCs w:val="32"/>
          <w:highlight w:val="none"/>
          <w:lang w:val="en-US" w:eastAsia="zh-CN"/>
        </w:rPr>
        <w:t>210</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val="en-US" w:eastAsia="zh-CN"/>
        </w:rPr>
        <w:t>01</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指行政单位医疗，</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highlight w:val="none"/>
          <w:lang w:eastAsia="zh-CN"/>
        </w:rPr>
        <w:t>职工医疗保险</w:t>
      </w:r>
      <w:r>
        <w:rPr>
          <w:rFonts w:hint="eastAsia" w:ascii="仿宋_GB2312" w:eastAsia="仿宋_GB2312"/>
          <w:sz w:val="32"/>
          <w:szCs w:val="32"/>
          <w:lang w:eastAsia="zh-CN"/>
        </w:rPr>
        <w:t>缴纳</w:t>
      </w:r>
      <w:r>
        <w:rPr>
          <w:rFonts w:hint="eastAsia" w:ascii="仿宋_GB2312" w:eastAsia="仿宋_GB2312"/>
          <w:color w:val="000000"/>
          <w:sz w:val="32"/>
          <w:szCs w:val="32"/>
          <w:highlight w:val="none"/>
        </w:rPr>
        <w:t>。</w:t>
      </w:r>
      <w:bookmarkStart w:id="0" w:name="_GoBack"/>
      <w:bookmarkEnd w:id="0"/>
    </w:p>
    <w:p>
      <w:pPr>
        <w:pStyle w:val="2"/>
        <w:rPr>
          <w:rFonts w:hint="default" w:eastAsia="仿宋_GB2312"/>
          <w:lang w:val="en-US" w:eastAsia="zh-CN"/>
        </w:rPr>
      </w:pP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60556"/>
    <w:multiLevelType w:val="singleLevel"/>
    <w:tmpl w:val="FFD60556"/>
    <w:lvl w:ilvl="0" w:tentative="0">
      <w:start w:val="5"/>
      <w:numFmt w:val="decimal"/>
      <w:suff w:val="nothing"/>
      <w:lvlText w:val="%1、"/>
      <w:lvlJc w:val="left"/>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abstractNum w:abstractNumId="3">
    <w:nsid w:val="5A966520"/>
    <w:multiLevelType w:val="singleLevel"/>
    <w:tmpl w:val="5A966520"/>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14F6D"/>
    <w:rsid w:val="125B4450"/>
    <w:rsid w:val="190A4D08"/>
    <w:rsid w:val="1D852864"/>
    <w:rsid w:val="1ED74D17"/>
    <w:rsid w:val="245B3CCB"/>
    <w:rsid w:val="255258CA"/>
    <w:rsid w:val="3787034C"/>
    <w:rsid w:val="388802BD"/>
    <w:rsid w:val="3E925C57"/>
    <w:rsid w:val="3EBB41CA"/>
    <w:rsid w:val="41260B4E"/>
    <w:rsid w:val="427B35AE"/>
    <w:rsid w:val="4AA428B5"/>
    <w:rsid w:val="4AFA32A4"/>
    <w:rsid w:val="50816444"/>
    <w:rsid w:val="56432923"/>
    <w:rsid w:val="7530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rPr>
      <w:rFonts w:ascii="宋体" w:hAnsi="宋体" w:cs="Courier New"/>
      <w:sz w:val="32"/>
      <w:szCs w:val="32"/>
    </w:rPr>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 Char"/>
    <w:basedOn w:val="1"/>
    <w:link w:val="4"/>
    <w:qFormat/>
    <w:uiPriority w:val="0"/>
    <w:rPr>
      <w:rFonts w:ascii="宋体" w:hAnsi="宋体" w:cs="Courier New"/>
      <w:sz w:val="32"/>
      <w:szCs w:val="32"/>
    </w:rPr>
  </w:style>
  <w:style w:type="character" w:styleId="6">
    <w:name w:val="Strong"/>
    <w:basedOn w:val="4"/>
    <w:qFormat/>
    <w:uiPriority w:val="0"/>
    <w:rPr>
      <w:b/>
      <w:bCs/>
    </w:rPr>
  </w:style>
  <w:style w:type="character" w:styleId="7">
    <w:name w:val="FollowedHyperlink"/>
    <w:basedOn w:val="4"/>
    <w:qFormat/>
    <w:uiPriority w:val="0"/>
    <w:rPr>
      <w:color w:val="800080"/>
      <w:u w:val="none"/>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paragraph" w:customStyle="1" w:styleId="13">
    <w:name w:val="p0"/>
    <w:basedOn w:val="1"/>
    <w:qFormat/>
    <w:uiPriority w:val="0"/>
    <w:pPr>
      <w:widowControl/>
    </w:pPr>
    <w:rPr>
      <w:kern w:val="0"/>
      <w:szCs w:val="21"/>
    </w:rPr>
  </w:style>
  <w:style w:type="character" w:customStyle="1" w:styleId="14">
    <w:name w:val="item-middle"/>
    <w:basedOn w:val="4"/>
    <w:qFormat/>
    <w:uiPriority w:val="0"/>
  </w:style>
  <w:style w:type="character" w:customStyle="1" w:styleId="15">
    <w:name w:val="image"/>
    <w:basedOn w:val="4"/>
    <w:qFormat/>
    <w:uiPriority w:val="0"/>
  </w:style>
  <w:style w:type="character" w:customStyle="1" w:styleId="16">
    <w:name w:val="image2"/>
    <w:basedOn w:val="4"/>
    <w:qFormat/>
    <w:uiPriority w:val="0"/>
  </w:style>
  <w:style w:type="character" w:customStyle="1" w:styleId="17">
    <w:name w:val="image3"/>
    <w:basedOn w:val="4"/>
    <w:qFormat/>
    <w:uiPriority w:val="0"/>
  </w:style>
  <w:style w:type="character" w:customStyle="1" w:styleId="18">
    <w:name w:val="ui-state-hover21"/>
    <w:basedOn w:val="4"/>
    <w:qFormat/>
    <w:uiPriority w:val="0"/>
  </w:style>
  <w:style w:type="character" w:customStyle="1" w:styleId="19">
    <w:name w:val="ui-state-active5"/>
    <w:basedOn w:val="4"/>
    <w:qFormat/>
    <w:uiPriority w:val="0"/>
  </w:style>
  <w:style w:type="character" w:customStyle="1" w:styleId="20">
    <w:name w:val="ui-state-default12"/>
    <w:basedOn w:val="4"/>
    <w:qFormat/>
    <w:uiPriority w:val="0"/>
  </w:style>
  <w:style w:type="character" w:customStyle="1" w:styleId="21">
    <w:name w:val="ui-state-default13"/>
    <w:basedOn w:val="4"/>
    <w:qFormat/>
    <w:uiPriority w:val="0"/>
  </w:style>
  <w:style w:type="character" w:customStyle="1" w:styleId="22">
    <w:name w:val="clicked1"/>
    <w:basedOn w:val="4"/>
    <w:qFormat/>
    <w:uiPriority w:val="0"/>
    <w:rPr>
      <w:color w:val="000000"/>
    </w:rPr>
  </w:style>
  <w:style w:type="character" w:customStyle="1" w:styleId="23">
    <w:name w:val="clicked2"/>
    <w:basedOn w:val="4"/>
    <w:qFormat/>
    <w:uiPriority w:val="0"/>
  </w:style>
  <w:style w:type="character" w:customStyle="1" w:styleId="24">
    <w:name w:val="clicked3"/>
    <w:basedOn w:val="4"/>
    <w:qFormat/>
    <w:uiPriority w:val="0"/>
  </w:style>
  <w:style w:type="character" w:customStyle="1" w:styleId="25">
    <w:name w:val="button-hover"/>
    <w:basedOn w:val="4"/>
    <w:qFormat/>
    <w:uiPriority w:val="0"/>
  </w:style>
  <w:style w:type="character" w:customStyle="1" w:styleId="26">
    <w:name w:val="button-hover1"/>
    <w:basedOn w:val="4"/>
    <w:qFormat/>
    <w:uiPriority w:val="0"/>
  </w:style>
  <w:style w:type="character" w:customStyle="1" w:styleId="27">
    <w:name w:val="group"/>
    <w:basedOn w:val="4"/>
    <w:qFormat/>
    <w:uiPriority w:val="0"/>
  </w:style>
  <w:style w:type="character" w:customStyle="1" w:styleId="28">
    <w:name w:val="directchildrenspan"/>
    <w:basedOn w:val="4"/>
    <w:qFormat/>
    <w:uiPriority w:val="0"/>
  </w:style>
  <w:style w:type="character" w:customStyle="1" w:styleId="29">
    <w:name w:val="imgspan"/>
    <w:basedOn w:val="4"/>
    <w:qFormat/>
    <w:uiPriority w:val="0"/>
  </w:style>
  <w:style w:type="character" w:customStyle="1" w:styleId="30">
    <w:name w:val="ui-icon34"/>
    <w:basedOn w:val="4"/>
    <w:qFormat/>
    <w:uiPriority w:val="0"/>
  </w:style>
  <w:style w:type="character" w:customStyle="1" w:styleId="31">
    <w:name w:val="newstitle"/>
    <w:basedOn w:val="4"/>
    <w:qFormat/>
    <w:uiPriority w:val="0"/>
    <w:rPr>
      <w:b/>
      <w:color w:val="000000"/>
      <w:sz w:val="24"/>
      <w:szCs w:val="24"/>
    </w:rPr>
  </w:style>
  <w:style w:type="character" w:customStyle="1" w:styleId="32">
    <w:name w:val="ui-state-hover"/>
    <w:basedOn w:val="4"/>
    <w:qFormat/>
    <w:uiPriority w:val="0"/>
  </w:style>
  <w:style w:type="character" w:customStyle="1" w:styleId="33">
    <w:name w:val="image1"/>
    <w:basedOn w:val="4"/>
    <w:qFormat/>
    <w:uiPriority w:val="0"/>
  </w:style>
  <w:style w:type="character" w:customStyle="1" w:styleId="34">
    <w:name w:val="clicked"/>
    <w:basedOn w:val="4"/>
    <w:qFormat/>
    <w:uiPriority w:val="0"/>
  </w:style>
  <w:style w:type="character" w:customStyle="1" w:styleId="35">
    <w:name w:val="ui-state-active"/>
    <w:basedOn w:val="4"/>
    <w:qFormat/>
    <w:uiPriority w:val="0"/>
  </w:style>
  <w:style w:type="character" w:customStyle="1" w:styleId="36">
    <w:name w:val="ui-icon33"/>
    <w:basedOn w:val="4"/>
    <w:qFormat/>
    <w:uiPriority w:val="0"/>
  </w:style>
  <w:style w:type="character" w:customStyle="1" w:styleId="37">
    <w:name w:val="ui-state-active6"/>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2021-02-04T08:06:00Z</cp:lastPrinted>
  <dcterms:modified xsi:type="dcterms:W3CDTF">2021-03-04T09:53:03Z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