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6300"/>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26"/>
          <w:sz w:val="44"/>
          <w:szCs w:val="44"/>
        </w:rPr>
      </w:pPr>
      <w:r>
        <w:rPr>
          <w:rFonts w:hint="default" w:ascii="Times New Roman" w:hAnsi="Times New Roman" w:eastAsia="方正小标宋简体" w:cs="Times New Roman"/>
          <w:color w:val="auto"/>
          <w:spacing w:val="-26"/>
          <w:sz w:val="44"/>
          <w:szCs w:val="44"/>
        </w:rPr>
        <w:t>关于常山县202</w:t>
      </w:r>
      <w:r>
        <w:rPr>
          <w:rFonts w:hint="default" w:ascii="Times New Roman" w:hAnsi="Times New Roman" w:eastAsia="方正小标宋简体" w:cs="Times New Roman"/>
          <w:color w:val="auto"/>
          <w:spacing w:val="-26"/>
          <w:sz w:val="44"/>
          <w:szCs w:val="44"/>
          <w:lang w:val="en-US" w:eastAsia="zh-CN"/>
        </w:rPr>
        <w:t>1</w:t>
      </w:r>
      <w:r>
        <w:rPr>
          <w:rFonts w:hint="default" w:ascii="Times New Roman" w:hAnsi="Times New Roman" w:eastAsia="方正小标宋简体" w:cs="Times New Roman"/>
          <w:color w:val="auto"/>
          <w:spacing w:val="-26"/>
          <w:sz w:val="44"/>
          <w:szCs w:val="44"/>
        </w:rPr>
        <w:t>年1-6月财政预算执行情况的报告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Cs/>
          <w:color w:val="auto"/>
          <w:sz w:val="32"/>
          <w:szCs w:val="32"/>
        </w:rPr>
      </w:pPr>
      <w:r>
        <w:rPr>
          <w:rFonts w:hint="default" w:ascii="Times New Roman" w:hAnsi="Times New Roman" w:eastAsia="楷体_GB2312" w:cs="Times New Roman"/>
          <w:bCs/>
          <w:color w:val="auto"/>
          <w:sz w:val="32"/>
          <w:szCs w:val="32"/>
        </w:rPr>
        <w:t>县财政局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4"/>
          <w:szCs w:val="3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主任、副主任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各位委员：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受县人民政府委托，现将我县202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年1-6月财政预算执行情况报告如下，请予审议。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一、202</w:t>
      </w:r>
      <w:r>
        <w:rPr>
          <w:rFonts w:hint="default"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rPr>
        <w:t>年1-6月财政预算执行情况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（一）一般公共预算收支情况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1-6月，全县财政总收入</w:t>
      </w:r>
      <w:r>
        <w:rPr>
          <w:rFonts w:hint="default" w:ascii="Times New Roman" w:hAnsi="Times New Roman" w:eastAsia="仿宋_GB2312" w:cs="Times New Roman"/>
          <w:color w:val="auto"/>
          <w:sz w:val="32"/>
          <w:szCs w:val="32"/>
          <w:lang w:val="en-US" w:eastAsia="zh-CN"/>
        </w:rPr>
        <w:t>144474</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完成预算数的</w:t>
      </w:r>
      <w:r>
        <w:rPr>
          <w:rFonts w:hint="default" w:ascii="Times New Roman" w:hAnsi="Times New Roman" w:eastAsia="仿宋_GB2312" w:cs="Times New Roman"/>
          <w:color w:val="auto"/>
          <w:sz w:val="32"/>
          <w:szCs w:val="32"/>
          <w:lang w:val="en-US" w:eastAsia="zh-CN"/>
        </w:rPr>
        <w:t>65.9%</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28.7</w:t>
      </w:r>
      <w:r>
        <w:rPr>
          <w:rFonts w:hint="default" w:ascii="Times New Roman" w:hAnsi="Times New Roman" w:eastAsia="仿宋_GB2312" w:cs="Times New Roman"/>
          <w:color w:val="auto"/>
          <w:sz w:val="32"/>
          <w:szCs w:val="32"/>
        </w:rPr>
        <w:t>%。其中：一般公共预算收入</w:t>
      </w:r>
      <w:r>
        <w:rPr>
          <w:rFonts w:hint="default" w:ascii="Times New Roman" w:hAnsi="Times New Roman" w:eastAsia="仿宋_GB2312" w:cs="Times New Roman"/>
          <w:color w:val="auto"/>
          <w:sz w:val="32"/>
          <w:szCs w:val="32"/>
          <w:lang w:val="en-US" w:eastAsia="zh-CN"/>
        </w:rPr>
        <w:t>90953</w:t>
      </w:r>
      <w:r>
        <w:rPr>
          <w:rFonts w:hint="default" w:ascii="Times New Roman" w:hAnsi="Times New Roman" w:eastAsia="仿宋_GB2312" w:cs="Times New Roman"/>
          <w:color w:val="auto"/>
          <w:sz w:val="32"/>
          <w:szCs w:val="32"/>
        </w:rPr>
        <w:t>万元，完成预算数的</w:t>
      </w:r>
      <w:r>
        <w:rPr>
          <w:rFonts w:hint="default" w:ascii="Times New Roman" w:hAnsi="Times New Roman" w:eastAsia="仿宋_GB2312" w:cs="Times New Roman"/>
          <w:color w:val="auto"/>
          <w:sz w:val="32"/>
          <w:szCs w:val="32"/>
          <w:lang w:val="en-US" w:eastAsia="zh-CN"/>
        </w:rPr>
        <w:t>69.1</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30.4</w:t>
      </w:r>
      <w:r>
        <w:rPr>
          <w:rFonts w:hint="default" w:ascii="Times New Roman" w:hAnsi="Times New Roman" w:eastAsia="仿宋_GB2312" w:cs="Times New Roman"/>
          <w:color w:val="auto"/>
          <w:sz w:val="32"/>
          <w:szCs w:val="32"/>
        </w:rPr>
        <w:t>%，主要原因是部分税收跨年结转入库。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1-6月，全县一般公共预算支出</w:t>
      </w:r>
      <w:r>
        <w:rPr>
          <w:rFonts w:hint="default" w:ascii="Times New Roman" w:hAnsi="Times New Roman" w:eastAsia="仿宋_GB2312" w:cs="Times New Roman"/>
          <w:color w:val="auto"/>
          <w:sz w:val="32"/>
          <w:szCs w:val="32"/>
          <w:lang w:val="en-US" w:eastAsia="zh-CN"/>
        </w:rPr>
        <w:t>344349</w:t>
      </w:r>
      <w:r>
        <w:rPr>
          <w:rFonts w:hint="default" w:ascii="Times New Roman" w:hAnsi="Times New Roman" w:eastAsia="仿宋_GB2312" w:cs="Times New Roman"/>
          <w:color w:val="auto"/>
          <w:sz w:val="32"/>
          <w:szCs w:val="32"/>
        </w:rPr>
        <w:t>万元，完成预算数的</w:t>
      </w:r>
      <w:r>
        <w:rPr>
          <w:rFonts w:hint="default" w:ascii="Times New Roman" w:hAnsi="Times New Roman" w:eastAsia="仿宋_GB2312" w:cs="Times New Roman"/>
          <w:color w:val="auto"/>
          <w:sz w:val="32"/>
          <w:szCs w:val="32"/>
          <w:lang w:val="en-US" w:eastAsia="zh-CN"/>
        </w:rPr>
        <w:t>67.8</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20.4</w:t>
      </w: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民生支出</w:t>
      </w:r>
      <w:r>
        <w:rPr>
          <w:rFonts w:hint="default" w:ascii="Times New Roman" w:hAnsi="Times New Roman" w:eastAsia="仿宋_GB2312" w:cs="Times New Roman"/>
          <w:color w:val="auto"/>
          <w:sz w:val="32"/>
          <w:szCs w:val="32"/>
          <w:lang w:val="en-US" w:eastAsia="zh-CN"/>
        </w:rPr>
        <w:t>228139</w:t>
      </w:r>
      <w:r>
        <w:rPr>
          <w:rFonts w:hint="default" w:ascii="Times New Roman" w:hAnsi="Times New Roman" w:eastAsia="仿宋_GB2312" w:cs="Times New Roman"/>
          <w:color w:val="auto"/>
          <w:sz w:val="32"/>
          <w:szCs w:val="32"/>
        </w:rPr>
        <w:t>万元，增长</w:t>
      </w:r>
      <w:r>
        <w:rPr>
          <w:rFonts w:hint="default" w:ascii="Times New Roman" w:hAnsi="Times New Roman" w:eastAsia="仿宋_GB2312" w:cs="Times New Roman"/>
          <w:color w:val="auto"/>
          <w:sz w:val="32"/>
          <w:szCs w:val="32"/>
          <w:lang w:val="en-US" w:eastAsia="zh-CN"/>
        </w:rPr>
        <w:t>14.9</w:t>
      </w:r>
      <w:r>
        <w:rPr>
          <w:rFonts w:hint="default" w:ascii="Times New Roman" w:hAnsi="Times New Roman" w:eastAsia="仿宋_GB2312" w:cs="Times New Roman"/>
          <w:color w:val="auto"/>
          <w:sz w:val="32"/>
          <w:szCs w:val="32"/>
        </w:rPr>
        <w:t>%，占一般公共预算支出的</w:t>
      </w:r>
      <w:r>
        <w:rPr>
          <w:rFonts w:hint="default" w:ascii="Times New Roman" w:hAnsi="Times New Roman" w:eastAsia="仿宋_GB2312" w:cs="Times New Roman"/>
          <w:color w:val="auto"/>
          <w:sz w:val="32"/>
          <w:szCs w:val="32"/>
          <w:lang w:val="en-US" w:eastAsia="zh-CN"/>
        </w:rPr>
        <w:t>66.3</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（二）政府性基金预算收支情况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1-6月，全县政府性基金预算收入</w:t>
      </w:r>
      <w:r>
        <w:rPr>
          <w:rFonts w:hint="default" w:ascii="Times New Roman" w:hAnsi="Times New Roman" w:eastAsia="仿宋_GB2312" w:cs="Times New Roman"/>
          <w:color w:val="auto"/>
          <w:sz w:val="32"/>
          <w:szCs w:val="32"/>
          <w:lang w:val="en-US" w:eastAsia="zh-CN"/>
        </w:rPr>
        <w:t>185552</w:t>
      </w:r>
      <w:r>
        <w:rPr>
          <w:rFonts w:hint="default" w:ascii="Times New Roman" w:hAnsi="Times New Roman" w:eastAsia="仿宋_GB2312" w:cs="Times New Roman"/>
          <w:color w:val="auto"/>
          <w:sz w:val="32"/>
          <w:szCs w:val="32"/>
        </w:rPr>
        <w:t>万元，完成预算数的7</w:t>
      </w:r>
      <w:r>
        <w:rPr>
          <w:rFonts w:hint="default" w:ascii="Times New Roman" w:hAnsi="Times New Roman" w:eastAsia="仿宋_GB2312" w:cs="Times New Roman"/>
          <w:color w:val="auto"/>
          <w:sz w:val="32"/>
          <w:szCs w:val="32"/>
          <w:lang w:val="en-US" w:eastAsia="zh-CN"/>
        </w:rPr>
        <w:t>6.4</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18.1</w:t>
      </w:r>
      <w:r>
        <w:rPr>
          <w:rFonts w:hint="default" w:ascii="Times New Roman" w:hAnsi="Times New Roman" w:eastAsia="仿宋_GB2312" w:cs="Times New Roman"/>
          <w:color w:val="auto"/>
          <w:sz w:val="32"/>
          <w:szCs w:val="32"/>
        </w:rPr>
        <w:t>%，主要原因是国有土地出让金收入</w:t>
      </w:r>
      <w:r>
        <w:rPr>
          <w:rFonts w:hint="default" w:ascii="Times New Roman" w:hAnsi="Times New Roman" w:eastAsia="仿宋_GB2312" w:cs="Times New Roman"/>
          <w:color w:val="auto"/>
          <w:sz w:val="32"/>
          <w:szCs w:val="32"/>
          <w:lang w:val="en-US" w:eastAsia="zh-CN"/>
        </w:rPr>
        <w:t>150218</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增收56108万元，</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59.6%</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1-6月，全县政府性基金预算支出</w:t>
      </w:r>
      <w:r>
        <w:rPr>
          <w:rFonts w:hint="default" w:ascii="Times New Roman" w:hAnsi="Times New Roman" w:eastAsia="仿宋_GB2312" w:cs="Times New Roman"/>
          <w:color w:val="auto"/>
          <w:sz w:val="32"/>
          <w:szCs w:val="32"/>
          <w:lang w:val="en-US" w:eastAsia="zh-CN"/>
        </w:rPr>
        <w:t>185981</w:t>
      </w:r>
      <w:r>
        <w:rPr>
          <w:rFonts w:hint="default" w:ascii="Times New Roman" w:hAnsi="Times New Roman" w:eastAsia="仿宋_GB2312" w:cs="Times New Roman"/>
          <w:color w:val="auto"/>
          <w:sz w:val="32"/>
          <w:szCs w:val="32"/>
        </w:rPr>
        <w:t>万元，完成预算数的89.</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25.0</w:t>
      </w:r>
      <w:r>
        <w:rPr>
          <w:rFonts w:hint="default" w:ascii="Times New Roman" w:hAnsi="Times New Roman" w:eastAsia="仿宋_GB2312" w:cs="Times New Roman"/>
          <w:color w:val="auto"/>
          <w:sz w:val="32"/>
          <w:szCs w:val="32"/>
        </w:rPr>
        <w:t>％，主要原因是国有土地出让收入安排的支出</w:t>
      </w:r>
      <w:r>
        <w:rPr>
          <w:rFonts w:hint="default" w:ascii="Times New Roman" w:hAnsi="Times New Roman" w:eastAsia="仿宋_GB2312" w:cs="Times New Roman"/>
          <w:color w:val="auto"/>
          <w:sz w:val="32"/>
          <w:szCs w:val="32"/>
          <w:lang w:val="en-US" w:eastAsia="zh-CN"/>
        </w:rPr>
        <w:t>127190</w:t>
      </w:r>
      <w:r>
        <w:rPr>
          <w:rFonts w:hint="default" w:ascii="Times New Roman" w:hAnsi="Times New Roman" w:eastAsia="仿宋_GB2312" w:cs="Times New Roman"/>
          <w:color w:val="auto"/>
          <w:sz w:val="32"/>
          <w:szCs w:val="32"/>
        </w:rPr>
        <w:t>万元，增支</w:t>
      </w:r>
      <w:r>
        <w:rPr>
          <w:rFonts w:hint="default" w:ascii="Times New Roman" w:hAnsi="Times New Roman" w:eastAsia="仿宋_GB2312" w:cs="Times New Roman"/>
          <w:color w:val="auto"/>
          <w:sz w:val="32"/>
          <w:szCs w:val="32"/>
          <w:lang w:val="en-US" w:eastAsia="zh-CN"/>
        </w:rPr>
        <w:t>41666</w:t>
      </w:r>
      <w:r>
        <w:rPr>
          <w:rFonts w:hint="default" w:ascii="Times New Roman" w:hAnsi="Times New Roman" w:eastAsia="仿宋_GB2312" w:cs="Times New Roman"/>
          <w:color w:val="auto"/>
          <w:sz w:val="32"/>
          <w:szCs w:val="32"/>
        </w:rPr>
        <w:t>万元，增长</w:t>
      </w:r>
      <w:r>
        <w:rPr>
          <w:rFonts w:hint="default" w:ascii="Times New Roman" w:hAnsi="Times New Roman" w:eastAsia="仿宋_GB2312" w:cs="Times New Roman"/>
          <w:color w:val="auto"/>
          <w:sz w:val="32"/>
          <w:szCs w:val="32"/>
          <w:lang w:val="en-US" w:eastAsia="zh-CN"/>
        </w:rPr>
        <w:t>48.7</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社保基金收支情况</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left="0" w:firstLine="640" w:firstLineChars="200"/>
        <w:textAlignment w:val="auto"/>
        <w:rPr>
          <w:rFonts w:hint="default" w:ascii="Times New Roman" w:hAnsi="Times New Roman" w:eastAsia="仿宋_GB2312" w:cs="Times New Roman"/>
          <w:b w:val="0"/>
          <w:color w:val="auto"/>
          <w:sz w:val="32"/>
          <w:szCs w:val="32"/>
          <w:lang w:val="en-US" w:eastAsia="zh-CN"/>
        </w:rPr>
      </w:pPr>
      <w:r>
        <w:rPr>
          <w:rFonts w:hint="default" w:ascii="Times New Roman" w:hAnsi="Times New Roman" w:eastAsia="仿宋_GB2312" w:cs="Times New Roman"/>
          <w:b w:val="0"/>
          <w:color w:val="auto"/>
          <w:sz w:val="32"/>
          <w:szCs w:val="32"/>
          <w:lang w:val="en-US" w:eastAsia="zh-CN"/>
        </w:rPr>
        <w:t>1-6月，全县社保基金收入68755万元，完成预算</w:t>
      </w:r>
      <w:r>
        <w:rPr>
          <w:rFonts w:hint="default" w:ascii="Times New Roman" w:hAnsi="Times New Roman" w:eastAsia="仿宋_GB2312" w:cs="Times New Roman"/>
          <w:color w:val="auto"/>
          <w:sz w:val="32"/>
          <w:szCs w:val="32"/>
        </w:rPr>
        <w:t>数</w:t>
      </w:r>
      <w:r>
        <w:rPr>
          <w:rFonts w:hint="default" w:ascii="Times New Roman" w:hAnsi="Times New Roman" w:eastAsia="仿宋_GB2312" w:cs="Times New Roman"/>
          <w:b w:val="0"/>
          <w:color w:val="auto"/>
          <w:sz w:val="32"/>
          <w:szCs w:val="32"/>
          <w:lang w:val="en-US" w:eastAsia="zh-CN"/>
        </w:rPr>
        <w:t>的59.0%，增长36.1%。</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left="0" w:firstLine="640" w:firstLineChars="200"/>
        <w:textAlignment w:val="auto"/>
        <w:rPr>
          <w:rFonts w:hint="default" w:ascii="Times New Roman" w:hAnsi="Times New Roman" w:eastAsia="仿宋_GB2312" w:cs="Times New Roman"/>
          <w:b w:val="0"/>
          <w:color w:val="auto"/>
          <w:sz w:val="32"/>
          <w:szCs w:val="32"/>
          <w:lang w:val="en-US" w:eastAsia="zh-CN"/>
        </w:rPr>
      </w:pPr>
      <w:r>
        <w:rPr>
          <w:rFonts w:hint="default" w:ascii="Times New Roman" w:hAnsi="Times New Roman" w:eastAsia="仿宋_GB2312" w:cs="Times New Roman"/>
          <w:b w:val="0"/>
          <w:color w:val="auto"/>
          <w:sz w:val="32"/>
          <w:szCs w:val="32"/>
          <w:lang w:val="en-US" w:eastAsia="zh-CN"/>
        </w:rPr>
        <w:t>1-6月，全县社保基金支出51500万元，完成预算</w:t>
      </w:r>
      <w:r>
        <w:rPr>
          <w:rFonts w:hint="default" w:ascii="Times New Roman" w:hAnsi="Times New Roman" w:eastAsia="仿宋_GB2312" w:cs="Times New Roman"/>
          <w:color w:val="auto"/>
          <w:sz w:val="32"/>
          <w:szCs w:val="32"/>
        </w:rPr>
        <w:t>数</w:t>
      </w:r>
      <w:r>
        <w:rPr>
          <w:rFonts w:hint="default" w:ascii="Times New Roman" w:hAnsi="Times New Roman" w:eastAsia="仿宋_GB2312" w:cs="Times New Roman"/>
          <w:b w:val="0"/>
          <w:color w:val="auto"/>
          <w:sz w:val="32"/>
          <w:szCs w:val="32"/>
          <w:lang w:val="en-US" w:eastAsia="zh-CN"/>
        </w:rPr>
        <w:t>的51.2%，增长8.6%。</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（四）国有资本经营预算收支情况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1-6月，全县国有资本经营预算收入</w:t>
      </w:r>
      <w:r>
        <w:rPr>
          <w:rFonts w:hint="default" w:ascii="Times New Roman" w:hAnsi="Times New Roman" w:eastAsia="仿宋_GB2312" w:cs="Times New Roman"/>
          <w:color w:val="auto"/>
          <w:sz w:val="32"/>
          <w:szCs w:val="32"/>
          <w:lang w:val="en-US" w:eastAsia="zh-CN"/>
        </w:rPr>
        <w:t>1200</w:t>
      </w:r>
      <w:r>
        <w:rPr>
          <w:rFonts w:hint="default" w:ascii="Times New Roman" w:hAnsi="Times New Roman" w:eastAsia="仿宋_GB2312" w:cs="Times New Roman"/>
          <w:color w:val="auto"/>
          <w:sz w:val="32"/>
          <w:szCs w:val="32"/>
        </w:rPr>
        <w:t>万元，完成预算数的</w:t>
      </w:r>
      <w:r>
        <w:rPr>
          <w:rFonts w:hint="default" w:ascii="Times New Roman" w:hAnsi="Times New Roman" w:eastAsia="仿宋_GB2312" w:cs="Times New Roman"/>
          <w:color w:val="auto"/>
          <w:sz w:val="32"/>
          <w:szCs w:val="32"/>
          <w:lang w:val="en-US" w:eastAsia="zh-CN"/>
        </w:rPr>
        <w:t>60.0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增长100.0%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1-6月，全县国有资本经营预算支出</w:t>
      </w:r>
      <w:r>
        <w:rPr>
          <w:rFonts w:hint="default" w:ascii="Times New Roman" w:hAnsi="Times New Roman" w:eastAsia="仿宋_GB2312" w:cs="Times New Roman"/>
          <w:color w:val="auto"/>
          <w:sz w:val="32"/>
          <w:szCs w:val="32"/>
          <w:lang w:val="en-US" w:eastAsia="zh-CN"/>
        </w:rPr>
        <w:t>0万元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二、当前财政预算执行情况分析及下半年工作重点</w:t>
      </w:r>
    </w:p>
    <w:p>
      <w:pPr>
        <w:keepNext w:val="0"/>
        <w:keepLines w:val="0"/>
        <w:pageBreakBefore w:val="0"/>
        <w:widowControl w:val="0"/>
        <w:kinsoku/>
        <w:wordWrap/>
        <w:overflowPunct/>
        <w:topLinePunct w:val="0"/>
        <w:autoSpaceDE/>
        <w:autoSpaceDN/>
        <w:bidi w:val="0"/>
        <w:adjustRightInd/>
        <w:snapToGrid/>
        <w:spacing w:line="590" w:lineRule="exact"/>
        <w:ind w:firstLine="598" w:firstLineChars="187"/>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上半年</w:t>
      </w:r>
      <w:r>
        <w:rPr>
          <w:rFonts w:hint="default" w:ascii="Times New Roman" w:hAnsi="Times New Roman" w:eastAsia="仿宋_GB2312" w:cs="Times New Roman"/>
          <w:color w:val="auto"/>
          <w:sz w:val="32"/>
          <w:szCs w:val="32"/>
        </w:rPr>
        <w:t>，财政部门紧紧围绕县委县政府决策部署，抢抓机遇、服务大局，全力推进</w:t>
      </w:r>
      <w:r>
        <w:rPr>
          <w:rFonts w:hint="default" w:ascii="Times New Roman" w:hAnsi="Times New Roman" w:eastAsia="仿宋_GB2312" w:cs="Times New Roman"/>
          <w:color w:val="auto"/>
          <w:sz w:val="32"/>
          <w:szCs w:val="32"/>
          <w:lang w:eastAsia="zh-CN"/>
        </w:rPr>
        <w:t>我县</w:t>
      </w:r>
      <w:r>
        <w:rPr>
          <w:rFonts w:hint="default" w:ascii="Times New Roman" w:hAnsi="Times New Roman" w:eastAsia="仿宋_GB2312" w:cs="Times New Roman"/>
          <w:color w:val="auto"/>
          <w:sz w:val="32"/>
          <w:szCs w:val="32"/>
        </w:rPr>
        <w:t>经济社会</w:t>
      </w:r>
      <w:r>
        <w:rPr>
          <w:rFonts w:hint="default" w:ascii="Times New Roman" w:hAnsi="Times New Roman" w:eastAsia="仿宋_GB2312" w:cs="Times New Roman"/>
          <w:color w:val="auto"/>
          <w:sz w:val="32"/>
          <w:szCs w:val="32"/>
          <w:lang w:eastAsia="zh-CN"/>
        </w:rPr>
        <w:t>持续健康发展</w:t>
      </w:r>
      <w:r>
        <w:rPr>
          <w:rFonts w:hint="default" w:ascii="Times New Roman" w:hAnsi="Times New Roman" w:eastAsia="仿宋_GB2312" w:cs="Times New Roman"/>
          <w:color w:val="auto"/>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楷体_GB2312" w:cs="Times New Roman"/>
          <w:b/>
          <w:bCs w:val="0"/>
          <w:color w:val="auto"/>
          <w:sz w:val="32"/>
          <w:szCs w:val="32"/>
        </w:rPr>
      </w:pPr>
      <w:r>
        <w:rPr>
          <w:rFonts w:hint="default" w:ascii="Times New Roman" w:hAnsi="Times New Roman" w:eastAsia="楷体_GB2312" w:cs="Times New Roman"/>
          <w:b/>
          <w:color w:val="auto"/>
          <w:sz w:val="32"/>
          <w:szCs w:val="32"/>
        </w:rPr>
        <w:t>（一）</w:t>
      </w:r>
      <w:r>
        <w:rPr>
          <w:rFonts w:hint="default" w:ascii="Times New Roman" w:hAnsi="Times New Roman" w:eastAsia="楷体_GB2312" w:cs="Times New Roman"/>
          <w:b/>
          <w:bCs w:val="0"/>
          <w:color w:val="auto"/>
          <w:sz w:val="32"/>
          <w:szCs w:val="32"/>
        </w:rPr>
        <w:t>上半年财政收支特点</w:t>
      </w:r>
    </w:p>
    <w:p>
      <w:pPr>
        <w:keepNext w:val="0"/>
        <w:keepLines w:val="0"/>
        <w:pageBreakBefore w:val="0"/>
        <w:widowControl w:val="0"/>
        <w:kinsoku/>
        <w:wordWrap/>
        <w:overflowPunct/>
        <w:topLinePunct w:val="0"/>
        <w:autoSpaceDE/>
        <w:autoSpaceDN/>
        <w:bidi w:val="0"/>
        <w:adjustRightInd/>
        <w:snapToGrid/>
        <w:spacing w:line="590" w:lineRule="exact"/>
        <w:ind w:firstLine="601" w:firstLineChars="187"/>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bCs/>
          <w:color w:val="auto"/>
          <w:sz w:val="32"/>
          <w:szCs w:val="32"/>
          <w:lang w:val="en-US" w:eastAsia="zh-CN"/>
        </w:rPr>
        <w:t>收入增速趋稳，全县经济稳中向好。</w:t>
      </w:r>
      <w:r>
        <w:rPr>
          <w:rFonts w:hint="default" w:ascii="Times New Roman" w:hAnsi="Times New Roman" w:eastAsia="仿宋_GB2312" w:cs="Times New Roman"/>
          <w:b w:val="0"/>
          <w:bCs w:val="0"/>
          <w:color w:val="auto"/>
          <w:sz w:val="32"/>
          <w:szCs w:val="32"/>
          <w:lang w:val="en-US" w:eastAsia="zh-CN"/>
        </w:rPr>
        <w:t>1-6月，全县财政总收入、一般公共预算收入、税收收入增幅三项指标均位列全市六县（市、区）第一。其中税收收入增幅已连续5个月位列全市六县（市、区）第一，充分说明我县经济稳中加固、稳中向好，为财政收入持续稳定增长奠定基础。</w:t>
      </w:r>
    </w:p>
    <w:p>
      <w:pPr>
        <w:keepNext w:val="0"/>
        <w:keepLines w:val="0"/>
        <w:pageBreakBefore w:val="0"/>
        <w:widowControl w:val="0"/>
        <w:kinsoku/>
        <w:wordWrap/>
        <w:overflowPunct/>
        <w:topLinePunct w:val="0"/>
        <w:autoSpaceDE/>
        <w:autoSpaceDN/>
        <w:bidi w:val="0"/>
        <w:adjustRightInd/>
        <w:snapToGrid/>
        <w:spacing w:line="590" w:lineRule="exact"/>
        <w:ind w:firstLine="601" w:firstLineChars="187"/>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二三产增长较快，支柱行业拉动明显。</w:t>
      </w:r>
      <w:r>
        <w:rPr>
          <w:rFonts w:hint="default" w:ascii="Times New Roman" w:hAnsi="Times New Roman" w:eastAsia="仿宋_GB2312" w:cs="Times New Roman"/>
          <w:b w:val="0"/>
          <w:color w:val="auto"/>
          <w:sz w:val="32"/>
          <w:szCs w:val="32"/>
        </w:rPr>
        <w:t>1-6月，全县二、三产业税收（全口径）收入分别为6.5亿元、6.8亿元，分别增长14.7%、73.7%，税收排名前三</w:t>
      </w:r>
      <w:r>
        <w:rPr>
          <w:rFonts w:hint="default" w:ascii="Times New Roman" w:hAnsi="Times New Roman" w:eastAsia="仿宋_GB2312" w:cs="Times New Roman"/>
          <w:b w:val="0"/>
          <w:color w:val="auto"/>
          <w:sz w:val="32"/>
          <w:szCs w:val="32"/>
          <w:lang w:eastAsia="zh-CN"/>
        </w:rPr>
        <w:t>的</w:t>
      </w:r>
      <w:r>
        <w:rPr>
          <w:rFonts w:hint="default" w:ascii="Times New Roman" w:hAnsi="Times New Roman" w:eastAsia="仿宋_GB2312" w:cs="Times New Roman"/>
          <w:b w:val="0"/>
          <w:color w:val="auto"/>
          <w:sz w:val="32"/>
          <w:szCs w:val="32"/>
        </w:rPr>
        <w:t>制造业、房地产业批发</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零售业分别入库4.7亿元、2.1亿元</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1.4亿元，分别增长22.4%、172.9%</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8.1%。制造业中</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非金属矿物制品业</w:t>
      </w:r>
      <w:r>
        <w:rPr>
          <w:rFonts w:hint="default" w:ascii="Times New Roman" w:hAnsi="Times New Roman" w:eastAsia="仿宋_GB2312" w:cs="Times New Roman"/>
          <w:b w:val="0"/>
          <w:color w:val="auto"/>
          <w:sz w:val="32"/>
          <w:szCs w:val="32"/>
          <w:lang w:eastAsia="zh-CN"/>
        </w:rPr>
        <w:t>入库</w:t>
      </w:r>
      <w:r>
        <w:rPr>
          <w:rFonts w:hint="default" w:ascii="Times New Roman" w:hAnsi="Times New Roman" w:eastAsia="仿宋_GB2312" w:cs="Times New Roman"/>
          <w:b w:val="0"/>
          <w:color w:val="auto"/>
          <w:sz w:val="32"/>
          <w:szCs w:val="32"/>
          <w:lang w:val="en-US" w:eastAsia="zh-CN"/>
        </w:rPr>
        <w:t>2.8亿元，</w:t>
      </w:r>
      <w:r>
        <w:rPr>
          <w:rFonts w:hint="default" w:ascii="Times New Roman" w:hAnsi="Times New Roman" w:eastAsia="仿宋_GB2312" w:cs="Times New Roman"/>
          <w:b w:val="0"/>
          <w:color w:val="auto"/>
          <w:sz w:val="32"/>
          <w:szCs w:val="32"/>
          <w:highlight w:val="none"/>
        </w:rPr>
        <w:t>占比</w:t>
      </w:r>
      <w:r>
        <w:rPr>
          <w:rFonts w:hint="default" w:ascii="Times New Roman" w:hAnsi="Times New Roman" w:eastAsia="仿宋_GB2312" w:cs="Times New Roman"/>
          <w:b w:val="0"/>
          <w:color w:val="auto"/>
          <w:sz w:val="32"/>
          <w:szCs w:val="32"/>
          <w:highlight w:val="none"/>
          <w:lang w:val="en-US" w:eastAsia="zh-CN"/>
        </w:rPr>
        <w:t>59.5%</w:t>
      </w:r>
      <w:r>
        <w:rPr>
          <w:rFonts w:hint="default" w:ascii="Times New Roman" w:hAnsi="Times New Roman" w:eastAsia="仿宋_GB2312" w:cs="Times New Roman"/>
          <w:b w:val="0"/>
          <w:color w:val="auto"/>
          <w:sz w:val="32"/>
          <w:szCs w:val="32"/>
        </w:rPr>
        <w:t>。房地产业中，常山世盈房地产开发有限责任公司</w:t>
      </w:r>
      <w:r>
        <w:rPr>
          <w:rFonts w:hint="default" w:ascii="Times New Roman" w:hAnsi="Times New Roman" w:eastAsia="仿宋_GB2312" w:cs="Times New Roman"/>
          <w:b w:val="0"/>
          <w:color w:val="auto"/>
          <w:sz w:val="32"/>
          <w:szCs w:val="32"/>
          <w:highlight w:val="none"/>
        </w:rPr>
        <w:t>增收</w:t>
      </w:r>
      <w:r>
        <w:rPr>
          <w:rFonts w:hint="default" w:ascii="Times New Roman" w:hAnsi="Times New Roman" w:eastAsia="仿宋_GB2312" w:cs="Times New Roman"/>
          <w:b w:val="0"/>
          <w:color w:val="auto"/>
          <w:sz w:val="32"/>
          <w:szCs w:val="32"/>
          <w:highlight w:val="none"/>
          <w:lang w:eastAsia="zh-CN"/>
        </w:rPr>
        <w:t>4</w:t>
      </w:r>
      <w:r>
        <w:rPr>
          <w:rFonts w:hint="default" w:ascii="Times New Roman" w:hAnsi="Times New Roman" w:eastAsia="仿宋_GB2312" w:cs="Times New Roman"/>
          <w:b w:val="0"/>
          <w:color w:val="auto"/>
          <w:sz w:val="32"/>
          <w:szCs w:val="32"/>
          <w:highlight w:val="none"/>
          <w:lang w:val="en-US" w:eastAsia="zh-CN"/>
        </w:rPr>
        <w:t>233</w:t>
      </w:r>
      <w:r>
        <w:rPr>
          <w:rFonts w:hint="default" w:ascii="Times New Roman" w:hAnsi="Times New Roman" w:eastAsia="仿宋_GB2312" w:cs="Times New Roman"/>
          <w:b w:val="0"/>
          <w:color w:val="auto"/>
          <w:sz w:val="32"/>
          <w:szCs w:val="32"/>
          <w:highlight w:val="none"/>
        </w:rPr>
        <w:t>万元，衢州启天房地产开发有限公司增收</w:t>
      </w:r>
      <w:r>
        <w:rPr>
          <w:rFonts w:hint="default" w:ascii="Times New Roman" w:hAnsi="Times New Roman" w:eastAsia="仿宋_GB2312" w:cs="Times New Roman"/>
          <w:b w:val="0"/>
          <w:color w:val="auto"/>
          <w:sz w:val="32"/>
          <w:szCs w:val="32"/>
          <w:highlight w:val="none"/>
          <w:lang w:eastAsia="zh-CN"/>
        </w:rPr>
        <w:t>3</w:t>
      </w:r>
      <w:r>
        <w:rPr>
          <w:rFonts w:hint="default" w:ascii="Times New Roman" w:hAnsi="Times New Roman" w:eastAsia="仿宋_GB2312" w:cs="Times New Roman"/>
          <w:b w:val="0"/>
          <w:color w:val="auto"/>
          <w:sz w:val="32"/>
          <w:szCs w:val="32"/>
          <w:highlight w:val="none"/>
          <w:lang w:val="en-US" w:eastAsia="zh-CN"/>
        </w:rPr>
        <w:t>309</w:t>
      </w:r>
      <w:r>
        <w:rPr>
          <w:rFonts w:hint="default" w:ascii="Times New Roman" w:hAnsi="Times New Roman" w:eastAsia="仿宋_GB2312" w:cs="Times New Roman"/>
          <w:b w:val="0"/>
          <w:color w:val="auto"/>
          <w:sz w:val="32"/>
          <w:szCs w:val="32"/>
          <w:highlight w:val="none"/>
        </w:rPr>
        <w:t>万元，拉高房</w:t>
      </w:r>
      <w:r>
        <w:rPr>
          <w:rFonts w:hint="default" w:ascii="Times New Roman" w:hAnsi="Times New Roman" w:eastAsia="仿宋_GB2312" w:cs="Times New Roman"/>
          <w:b w:val="0"/>
          <w:color w:val="auto"/>
          <w:sz w:val="32"/>
          <w:szCs w:val="32"/>
        </w:rPr>
        <w:t>地产业增幅。</w:t>
      </w:r>
    </w:p>
    <w:p>
      <w:pPr>
        <w:keepNext w:val="0"/>
        <w:keepLines w:val="0"/>
        <w:pageBreakBefore w:val="0"/>
        <w:widowControl w:val="0"/>
        <w:kinsoku/>
        <w:wordWrap/>
        <w:overflowPunct/>
        <w:topLinePunct w:val="0"/>
        <w:autoSpaceDE/>
        <w:autoSpaceDN/>
        <w:bidi w:val="0"/>
        <w:adjustRightInd/>
        <w:snapToGrid/>
        <w:spacing w:line="600" w:lineRule="exact"/>
        <w:ind w:firstLine="601" w:firstLineChars="187"/>
        <w:textAlignment w:val="auto"/>
        <w:rPr>
          <w:rFonts w:hint="default" w:ascii="Times New Roman" w:hAnsi="Times New Roman" w:eastAsia="仿宋_GB2312" w:cs="Times New Roman"/>
          <w:b/>
          <w:color w:val="auto"/>
          <w:sz w:val="32"/>
          <w:szCs w:val="32"/>
          <w:lang w:val="en-US" w:bidi="ar-SA"/>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民生支出保障有力</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支出结构保持稳定。</w:t>
      </w:r>
      <w:r>
        <w:rPr>
          <w:rFonts w:hint="default" w:ascii="Times New Roman" w:hAnsi="Times New Roman" w:eastAsia="仿宋_GB2312" w:cs="Times New Roman"/>
          <w:b w:val="0"/>
          <w:color w:val="auto"/>
          <w:sz w:val="32"/>
          <w:szCs w:val="32"/>
        </w:rPr>
        <w:t>1-6月，全县民生支出22.8亿元，增长14.9%，占一般公共预算支出的66.</w:t>
      </w:r>
      <w:r>
        <w:rPr>
          <w:rFonts w:hint="eastAsia" w:ascii="Times New Roman" w:hAnsi="Times New Roman" w:eastAsia="仿宋_GB2312" w:cs="Times New Roman"/>
          <w:b w:val="0"/>
          <w:color w:val="auto"/>
          <w:sz w:val="32"/>
          <w:szCs w:val="32"/>
          <w:lang w:val="en-US" w:eastAsia="zh-CN"/>
        </w:rPr>
        <w:t>3</w:t>
      </w:r>
      <w:r>
        <w:rPr>
          <w:rFonts w:hint="default" w:ascii="Times New Roman" w:hAnsi="Times New Roman" w:eastAsia="仿宋_GB2312" w:cs="Times New Roman"/>
          <w:b w:val="0"/>
          <w:color w:val="auto"/>
          <w:sz w:val="32"/>
          <w:szCs w:val="32"/>
        </w:rPr>
        <w:t>%。直达资金支出</w:t>
      </w:r>
      <w:r>
        <w:rPr>
          <w:rFonts w:hint="eastAsia" w:ascii="Times New Roman" w:hAnsi="Times New Roman" w:eastAsia="仿宋_GB2312" w:cs="Times New Roman"/>
          <w:b w:val="0"/>
          <w:color w:val="auto"/>
          <w:sz w:val="32"/>
          <w:szCs w:val="32"/>
          <w:lang w:val="en-US" w:eastAsia="zh-CN"/>
        </w:rPr>
        <w:t>6.9</w:t>
      </w:r>
      <w:r>
        <w:rPr>
          <w:rFonts w:hint="default" w:ascii="Times New Roman" w:hAnsi="Times New Roman" w:eastAsia="仿宋_GB2312" w:cs="Times New Roman"/>
          <w:b w:val="0"/>
          <w:color w:val="auto"/>
          <w:sz w:val="32"/>
          <w:szCs w:val="32"/>
        </w:rPr>
        <w:t>亿元，支出进度</w:t>
      </w:r>
      <w:r>
        <w:rPr>
          <w:rFonts w:hint="eastAsia" w:ascii="Times New Roman" w:hAnsi="Times New Roman" w:eastAsia="仿宋_GB2312" w:cs="Times New Roman"/>
          <w:b w:val="0"/>
          <w:color w:val="auto"/>
          <w:sz w:val="32"/>
          <w:szCs w:val="32"/>
          <w:lang w:val="en-US" w:eastAsia="zh-CN"/>
        </w:rPr>
        <w:t>93.9</w:t>
      </w:r>
      <w:r>
        <w:rPr>
          <w:rFonts w:hint="default" w:ascii="Times New Roman" w:hAnsi="Times New Roman" w:eastAsia="仿宋_GB2312" w:cs="Times New Roman"/>
          <w:b w:val="0"/>
          <w:color w:val="auto"/>
          <w:sz w:val="32"/>
          <w:szCs w:val="32"/>
        </w:rPr>
        <w:t>%，位列</w:t>
      </w:r>
      <w:r>
        <w:rPr>
          <w:rFonts w:hint="default" w:ascii="Times New Roman" w:hAnsi="Times New Roman" w:eastAsia="仿宋_GB2312" w:cs="Times New Roman"/>
          <w:b w:val="0"/>
          <w:color w:val="auto"/>
          <w:sz w:val="32"/>
          <w:szCs w:val="32"/>
          <w:lang w:eastAsia="zh-CN"/>
        </w:rPr>
        <w:t>全市</w:t>
      </w:r>
      <w:r>
        <w:rPr>
          <w:rFonts w:hint="default" w:ascii="Times New Roman" w:hAnsi="Times New Roman" w:eastAsia="仿宋_GB2312" w:cs="Times New Roman"/>
          <w:b w:val="0"/>
          <w:color w:val="auto"/>
          <w:sz w:val="32"/>
          <w:szCs w:val="32"/>
        </w:rPr>
        <w:t>六县（市、区）第二。严格落实过紧日子的要求，持续压减一般性支出、非刚性非急需支出，同时，基层医疗体系建设、教育、基层“三保”等重点领域支出有力保障</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其中交通运输支出</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节能环保支出</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卫生健康支出</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教育支出</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农林水支出</w:t>
      </w:r>
      <w:r>
        <w:rPr>
          <w:rFonts w:hint="default" w:ascii="Times New Roman" w:hAnsi="Times New Roman" w:eastAsia="仿宋_GB2312" w:cs="Times New Roman"/>
          <w:b w:val="0"/>
          <w:color w:val="auto"/>
          <w:sz w:val="32"/>
          <w:szCs w:val="32"/>
          <w:lang w:eastAsia="zh-CN"/>
        </w:rPr>
        <w:t>分别</w:t>
      </w:r>
      <w:r>
        <w:rPr>
          <w:rFonts w:hint="default" w:ascii="Times New Roman" w:hAnsi="Times New Roman" w:eastAsia="仿宋_GB2312" w:cs="Times New Roman"/>
          <w:b w:val="0"/>
          <w:color w:val="auto"/>
          <w:sz w:val="32"/>
          <w:szCs w:val="32"/>
        </w:rPr>
        <w:t>增长84.5%、44.6%</w:t>
      </w:r>
      <w:r>
        <w:rPr>
          <w:rFonts w:hint="default" w:ascii="Times New Roman" w:hAnsi="Times New Roman" w:eastAsia="仿宋_GB2312" w:cs="Times New Roman"/>
          <w:b w:val="0"/>
          <w:color w:val="auto"/>
          <w:sz w:val="32"/>
          <w:szCs w:val="32"/>
          <w:lang w:eastAsia="zh-CN"/>
        </w:rPr>
        <w:t>、</w:t>
      </w:r>
      <w:r>
        <w:rPr>
          <w:rFonts w:hint="default" w:ascii="Times New Roman" w:hAnsi="Times New Roman" w:eastAsia="仿宋_GB2312" w:cs="Times New Roman"/>
          <w:b w:val="0"/>
          <w:color w:val="auto"/>
          <w:sz w:val="32"/>
          <w:szCs w:val="32"/>
        </w:rPr>
        <w:t>28.2%、24.5%、21.9%</w:t>
      </w:r>
      <w:r>
        <w:rPr>
          <w:rFonts w:hint="default" w:ascii="Times New Roman" w:hAnsi="Times New Roman" w:eastAsia="仿宋_GB2312" w:cs="Times New Roman"/>
          <w:b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上半年，我县财政</w:t>
      </w:r>
      <w:r>
        <w:rPr>
          <w:rFonts w:hint="default" w:ascii="Times New Roman" w:hAnsi="Times New Roman" w:eastAsia="仿宋_GB2312" w:cs="Times New Roman"/>
          <w:color w:val="auto"/>
          <w:sz w:val="32"/>
          <w:szCs w:val="32"/>
          <w:lang w:eastAsia="zh-CN"/>
        </w:rPr>
        <w:t>各项</w:t>
      </w:r>
      <w:r>
        <w:rPr>
          <w:rFonts w:hint="default" w:ascii="Times New Roman" w:hAnsi="Times New Roman" w:eastAsia="仿宋_GB2312" w:cs="Times New Roman"/>
          <w:color w:val="auto"/>
          <w:sz w:val="32"/>
          <w:szCs w:val="32"/>
        </w:rPr>
        <w:t>工作得</w:t>
      </w:r>
      <w:r>
        <w:rPr>
          <w:rFonts w:hint="default" w:ascii="Times New Roman" w:hAnsi="Times New Roman" w:eastAsia="仿宋_GB2312" w:cs="Times New Roman"/>
          <w:color w:val="auto"/>
          <w:sz w:val="32"/>
          <w:szCs w:val="32"/>
          <w:lang w:eastAsia="zh-CN"/>
        </w:rPr>
        <w:t>了</w:t>
      </w:r>
      <w:r>
        <w:rPr>
          <w:rFonts w:hint="default" w:ascii="Times New Roman" w:hAnsi="Times New Roman" w:eastAsia="仿宋_GB2312" w:cs="Times New Roman"/>
          <w:color w:val="auto"/>
          <w:sz w:val="32"/>
          <w:szCs w:val="32"/>
        </w:rPr>
        <w:t>新的突破</w:t>
      </w:r>
      <w:r>
        <w:rPr>
          <w:rFonts w:hint="default" w:ascii="Times New Roman" w:hAnsi="Times New Roman" w:eastAsia="仿宋_GB2312" w:cs="Times New Roman"/>
          <w:color w:val="auto"/>
          <w:kern w:val="2"/>
          <w:sz w:val="32"/>
          <w:szCs w:val="32"/>
          <w:lang w:eastAsia="zh-CN"/>
        </w:rPr>
        <w:t>，但</w:t>
      </w:r>
      <w:r>
        <w:rPr>
          <w:rFonts w:hint="default" w:ascii="Times New Roman" w:hAnsi="Times New Roman" w:eastAsia="仿宋_GB2312" w:cs="Times New Roman"/>
          <w:color w:val="auto"/>
          <w:sz w:val="32"/>
          <w:szCs w:val="32"/>
          <w:shd w:val="clear" w:color="auto" w:fill="auto"/>
          <w:lang w:eastAsia="zh-CN"/>
        </w:rPr>
        <w:t>也</w:t>
      </w:r>
      <w:r>
        <w:rPr>
          <w:rFonts w:hint="default" w:ascii="Times New Roman" w:hAnsi="Times New Roman" w:eastAsia="仿宋_GB2312" w:cs="Times New Roman"/>
          <w:color w:val="auto"/>
          <w:sz w:val="32"/>
          <w:szCs w:val="32"/>
          <w:shd w:val="clear" w:color="auto" w:fill="auto"/>
        </w:rPr>
        <w:t>存在</w:t>
      </w:r>
      <w:r>
        <w:rPr>
          <w:rFonts w:hint="default" w:ascii="Times New Roman" w:hAnsi="Times New Roman" w:eastAsia="仿宋_GB2312" w:cs="Times New Roman"/>
          <w:color w:val="auto"/>
          <w:sz w:val="32"/>
          <w:szCs w:val="32"/>
        </w:rPr>
        <w:t>一些困难：</w:t>
      </w:r>
      <w:r>
        <w:rPr>
          <w:rFonts w:hint="default" w:ascii="Times New Roman" w:hAnsi="Times New Roman" w:eastAsia="仿宋_GB2312" w:cs="Times New Roman"/>
          <w:b/>
          <w:bCs/>
          <w:color w:val="auto"/>
          <w:sz w:val="32"/>
          <w:szCs w:val="32"/>
        </w:rPr>
        <w:t>一</w:t>
      </w:r>
      <w:r>
        <w:rPr>
          <w:rFonts w:hint="default" w:ascii="Times New Roman" w:hAnsi="Times New Roman" w:eastAsia="仿宋_GB2312" w:cs="Times New Roman"/>
          <w:b/>
          <w:bCs/>
          <w:color w:val="auto"/>
          <w:sz w:val="32"/>
          <w:szCs w:val="32"/>
          <w:lang w:eastAsia="zh-CN"/>
        </w:rPr>
        <w:t>是</w:t>
      </w:r>
      <w:r>
        <w:rPr>
          <w:rFonts w:hint="default" w:ascii="Times New Roman" w:hAnsi="Times New Roman" w:eastAsia="仿宋_GB2312" w:cs="Times New Roman"/>
          <w:b/>
          <w:bCs/>
          <w:color w:val="auto"/>
          <w:sz w:val="32"/>
          <w:szCs w:val="32"/>
        </w:rPr>
        <w:t>收入质量面临严峻考验</w:t>
      </w:r>
      <w:r>
        <w:rPr>
          <w:rFonts w:hint="default" w:ascii="Times New Roman" w:hAnsi="Times New Roman" w:eastAsia="仿宋_GB2312" w:cs="Times New Roman"/>
          <w:b w:val="0"/>
          <w:color w:val="auto"/>
          <w:sz w:val="32"/>
          <w:szCs w:val="32"/>
        </w:rPr>
        <w:t>。</w:t>
      </w:r>
      <w:r>
        <w:rPr>
          <w:rFonts w:hint="default" w:ascii="Times New Roman" w:hAnsi="Times New Roman" w:eastAsia="仿宋_GB2312" w:cs="Times New Roman"/>
          <w:color w:val="auto"/>
          <w:sz w:val="32"/>
          <w:szCs w:val="32"/>
          <w:lang w:val="en-US" w:eastAsia="zh-CN"/>
        </w:rPr>
        <w:t>上级部门对收入质量要求不断提升，</w:t>
      </w:r>
      <w:r>
        <w:rPr>
          <w:rFonts w:hint="default" w:ascii="Times New Roman" w:hAnsi="Times New Roman" w:eastAsia="仿宋_GB2312" w:cs="Times New Roman"/>
          <w:b w:val="0"/>
          <w:bCs/>
          <w:color w:val="auto"/>
          <w:sz w:val="32"/>
          <w:szCs w:val="32"/>
          <w:lang w:val="en-US" w:eastAsia="zh-CN"/>
        </w:rPr>
        <w:t>1-6月，全县</w:t>
      </w:r>
      <w:r>
        <w:rPr>
          <w:rFonts w:hint="default" w:ascii="Times New Roman" w:hAnsi="Times New Roman" w:eastAsia="仿宋_GB2312" w:cs="Times New Roman"/>
          <w:color w:val="auto"/>
          <w:sz w:val="32"/>
          <w:szCs w:val="32"/>
          <w:lang w:eastAsia="zh-CN"/>
        </w:rPr>
        <w:t>税收收入占一般公共预算收入比重为</w:t>
      </w:r>
      <w:r>
        <w:rPr>
          <w:rFonts w:hint="default" w:ascii="Times New Roman" w:hAnsi="Times New Roman" w:eastAsia="仿宋_GB2312" w:cs="Times New Roman"/>
          <w:color w:val="auto"/>
          <w:sz w:val="32"/>
          <w:szCs w:val="32"/>
          <w:lang w:val="en-US" w:eastAsia="zh-CN"/>
        </w:rPr>
        <w:t>80.9%，较上年同期提高8.3个百分点，但是较一季度有所下降，且与周边县市对比排名靠后。</w:t>
      </w:r>
      <w:r>
        <w:rPr>
          <w:rFonts w:hint="default" w:ascii="Times New Roman" w:hAnsi="Times New Roman" w:eastAsia="仿宋_GB2312" w:cs="Times New Roman"/>
          <w:b/>
          <w:bCs/>
          <w:color w:val="auto"/>
          <w:sz w:val="32"/>
          <w:szCs w:val="32"/>
        </w:rPr>
        <w:t>二是社保基金</w:t>
      </w:r>
      <w:r>
        <w:rPr>
          <w:rFonts w:hint="default" w:ascii="Times New Roman" w:hAnsi="Times New Roman" w:eastAsia="仿宋_GB2312" w:cs="Times New Roman"/>
          <w:b/>
          <w:bCs/>
          <w:color w:val="auto"/>
          <w:sz w:val="32"/>
          <w:szCs w:val="32"/>
          <w:lang w:eastAsia="zh-CN"/>
        </w:rPr>
        <w:t>缺口严重</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caps w:val="0"/>
          <w:color w:val="auto"/>
          <w:spacing w:val="0"/>
          <w:sz w:val="32"/>
          <w:szCs w:val="32"/>
          <w:shd w:val="clear" w:fill="auto"/>
        </w:rPr>
        <w:t>企业职工基本养老保险基金已纳入省级统筹，但全年需上缴专项性责任资金24877万元和当年收支缺口责任资金12230万元。</w:t>
      </w:r>
      <w:r>
        <w:rPr>
          <w:rFonts w:hint="default" w:ascii="Times New Roman" w:hAnsi="Times New Roman" w:eastAsia="仿宋_GB2312" w:cs="Times New Roman"/>
          <w:b/>
          <w:bCs/>
          <w:color w:val="auto"/>
          <w:sz w:val="32"/>
          <w:szCs w:val="32"/>
        </w:rPr>
        <w:t>三是化债压力</w:t>
      </w:r>
      <w:r>
        <w:rPr>
          <w:rFonts w:hint="default" w:ascii="Times New Roman" w:hAnsi="Times New Roman" w:eastAsia="仿宋_GB2312" w:cs="Times New Roman"/>
          <w:b/>
          <w:bCs/>
          <w:color w:val="auto"/>
          <w:sz w:val="32"/>
          <w:szCs w:val="32"/>
          <w:lang w:eastAsia="zh-CN"/>
        </w:rPr>
        <w:t>依然很大</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caps w:val="0"/>
          <w:color w:val="auto"/>
          <w:spacing w:val="0"/>
          <w:sz w:val="32"/>
          <w:szCs w:val="32"/>
          <w:shd w:val="clear" w:fill="auto"/>
        </w:rPr>
        <w:t>本年度预计安排23495万元资金用于债券还本付息。</w:t>
      </w:r>
    </w:p>
    <w:p>
      <w:pPr>
        <w:keepNext w:val="0"/>
        <w:keepLines w:val="0"/>
        <w:pageBreakBefore w:val="0"/>
        <w:numPr>
          <w:ilvl w:val="255"/>
          <w:numId w:val="0"/>
        </w:numPr>
        <w:kinsoku/>
        <w:wordWrap/>
        <w:overflowPunct/>
        <w:topLinePunct w:val="0"/>
        <w:bidi w:val="0"/>
        <w:adjustRightInd/>
        <w:snapToGrid/>
        <w:spacing w:line="576" w:lineRule="exact"/>
        <w:ind w:firstLine="643" w:firstLineChars="200"/>
        <w:rPr>
          <w:rFonts w:hint="default" w:ascii="Times New Roman" w:hAnsi="Times New Roman" w:eastAsia="楷体_GB2312" w:cs="Times New Roman"/>
          <w:b/>
          <w:bCs w:val="0"/>
          <w:color w:val="auto"/>
          <w:sz w:val="32"/>
          <w:szCs w:val="32"/>
        </w:rPr>
      </w:pPr>
      <w:r>
        <w:rPr>
          <w:rFonts w:hint="default" w:ascii="Times New Roman" w:hAnsi="Times New Roman" w:eastAsia="楷体_GB2312" w:cs="Times New Roman"/>
          <w:b/>
          <w:color w:val="auto"/>
          <w:sz w:val="32"/>
          <w:szCs w:val="32"/>
        </w:rPr>
        <w:t>（二）</w:t>
      </w:r>
      <w:r>
        <w:rPr>
          <w:rFonts w:hint="default" w:ascii="Times New Roman" w:hAnsi="Times New Roman" w:eastAsia="楷体_GB2312" w:cs="Times New Roman"/>
          <w:b/>
          <w:bCs w:val="0"/>
          <w:color w:val="auto"/>
          <w:sz w:val="32"/>
          <w:szCs w:val="32"/>
        </w:rPr>
        <w:t>下半年重点工作</w:t>
      </w:r>
    </w:p>
    <w:p>
      <w:pPr>
        <w:keepNext w:val="0"/>
        <w:keepLines w:val="0"/>
        <w:pageBreakBefore w:val="0"/>
        <w:kinsoku/>
        <w:wordWrap/>
        <w:overflowPunct/>
        <w:topLinePunct w:val="0"/>
        <w:bidi w:val="0"/>
        <w:adjustRightInd/>
        <w:snapToGrid/>
        <w:spacing w:line="576" w:lineRule="exact"/>
        <w:ind w:left="0" w:leftChars="0" w:right="0" w:rightChars="0" w:firstLine="640" w:firstLineChars="200"/>
        <w:jc w:val="both"/>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下一步，我们将坚决贯彻县委县政府决策部署，干字当头，坚持问题导向、目标导向，强化形势研判，精准发力、克难攻坚、争先进位，奋力夺取财政指标高分报表，努力在推进常山跨越式发展新征程</w:t>
      </w:r>
      <w:r>
        <w:rPr>
          <w:rFonts w:hint="eastAsia" w:ascii="Times New Roman" w:hAnsi="Times New Roman" w:eastAsia="仿宋_GB2312" w:cs="Times New Roman"/>
          <w:color w:val="auto"/>
          <w:kern w:val="2"/>
          <w:sz w:val="32"/>
          <w:szCs w:val="32"/>
          <w:lang w:val="en-US" w:eastAsia="zh-CN" w:bidi="ar-SA"/>
        </w:rPr>
        <w:t>中</w:t>
      </w:r>
      <w:r>
        <w:rPr>
          <w:rFonts w:hint="default" w:ascii="Times New Roman" w:hAnsi="Times New Roman" w:eastAsia="仿宋_GB2312" w:cs="Times New Roman"/>
          <w:color w:val="auto"/>
          <w:kern w:val="2"/>
          <w:sz w:val="32"/>
          <w:szCs w:val="32"/>
          <w:lang w:val="en-US" w:eastAsia="zh-CN" w:bidi="ar-SA"/>
        </w:rPr>
        <w:t>争先锋、作表率。</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i w:val="0"/>
          <w:caps w:val="0"/>
          <w:color w:val="auto"/>
          <w:spacing w:val="0"/>
          <w:kern w:val="0"/>
          <w:sz w:val="32"/>
          <w:szCs w:val="32"/>
          <w:shd w:val="clear" w:color="auto" w:fill="FFFFFF"/>
          <w:vertAlign w:val="baseline"/>
          <w:lang w:val="en-US" w:eastAsia="zh-CN" w:bidi="ar"/>
        </w:rPr>
        <w:t>1．大力培植财源，增强经济发展活力。</w:t>
      </w:r>
      <w:r>
        <w:rPr>
          <w:rFonts w:hint="default" w:ascii="Times New Roman" w:hAnsi="Times New Roman" w:eastAsia="仿宋_GB2312" w:cs="Times New Roman"/>
          <w:color w:val="auto"/>
          <w:sz w:val="32"/>
          <w:szCs w:val="32"/>
          <w:lang w:val="en-US" w:eastAsia="zh-CN"/>
        </w:rPr>
        <w:t>强化宏观经济预判，</w:t>
      </w:r>
      <w:r>
        <w:rPr>
          <w:rFonts w:hint="default" w:ascii="Times New Roman" w:hAnsi="Times New Roman" w:eastAsia="仿宋_GB2312" w:cs="Times New Roman"/>
          <w:color w:val="auto"/>
          <w:kern w:val="2"/>
          <w:sz w:val="32"/>
          <w:szCs w:val="32"/>
          <w:lang w:val="en-US" w:eastAsia="zh-CN" w:bidi="ar-SA"/>
        </w:rPr>
        <w:t>完善综合治税制度体系，加强信息化系统建设，提高重点涉税部门信息共享，</w:t>
      </w:r>
      <w:r>
        <w:rPr>
          <w:rFonts w:hint="default" w:ascii="Times New Roman" w:hAnsi="Times New Roman" w:eastAsia="仿宋_GB2312" w:cs="Times New Roman"/>
          <w:color w:val="auto"/>
          <w:sz w:val="32"/>
          <w:szCs w:val="32"/>
          <w:lang w:val="en-US" w:eastAsia="zh-CN"/>
        </w:rPr>
        <w:t>合理把握组织收入节奏、力度，确保预期目标顺利完成。</w:t>
      </w:r>
      <w:r>
        <w:rPr>
          <w:rFonts w:hint="default" w:ascii="Times New Roman" w:hAnsi="Times New Roman" w:eastAsia="仿宋_GB2312" w:cs="Times New Roman"/>
          <w:color w:val="auto"/>
          <w:kern w:val="2"/>
          <w:sz w:val="32"/>
          <w:szCs w:val="32"/>
          <w:lang w:val="en-US" w:eastAsia="zh-CN" w:bidi="ar-SA"/>
        </w:rPr>
        <w:t>建立财政、税务、资规等多部门间的统筹协调机制，提高调控非税收入的主动性和预见性。加大招商引资及优惠政策兑现力度，巩固主体税源，培育后续财源。梳理整合我县工业政策，完善产业投资引导基金管理办法，制定“两山”投资引导基金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napToGrid/>
        <w:spacing w:beforeAutospacing="0" w:afterAutospacing="0" w:line="576" w:lineRule="exact"/>
        <w:ind w:left="0" w:leftChars="0" w:right="0" w:rightChars="0" w:firstLine="643" w:firstLineChars="200"/>
        <w:jc w:val="both"/>
        <w:textAlignment w:val="baseline"/>
        <w:outlineLvl w:val="9"/>
        <w:rPr>
          <w:rFonts w:hint="default" w:ascii="Times New Roman" w:hAnsi="Times New Roman" w:eastAsia="仿宋_GB2312" w:cs="Times New Roman"/>
          <w:b w:val="0"/>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i w:val="0"/>
          <w:caps w:val="0"/>
          <w:color w:val="auto"/>
          <w:spacing w:val="0"/>
          <w:kern w:val="0"/>
          <w:sz w:val="32"/>
          <w:szCs w:val="32"/>
          <w:shd w:val="clear" w:color="auto" w:fill="FFFFFF"/>
          <w:vertAlign w:val="baseline"/>
          <w:lang w:val="en-US" w:eastAsia="zh-CN" w:bidi="ar"/>
        </w:rPr>
        <w:t>2．科学调度资金，保障重点领域支出。</w:t>
      </w:r>
      <w:r>
        <w:rPr>
          <w:rFonts w:hint="default" w:ascii="Times New Roman" w:hAnsi="Times New Roman" w:eastAsia="仿宋_GB2312" w:cs="Times New Roman"/>
          <w:color w:val="auto"/>
          <w:kern w:val="2"/>
          <w:sz w:val="32"/>
          <w:szCs w:val="32"/>
          <w:lang w:val="en-US" w:eastAsia="zh-CN" w:bidi="ar-SA"/>
        </w:rPr>
        <w:t>全力确保基本支出，对年初预算安排的“三保”及其他刚性支出足额保障，不留缺口。积极支持教育、卫生等民生重点项目支出，确保县委、县政府民生实事各项部署落实到位。加大乡村振兴投入，围绕共同富裕示范区建设目标，在轴承产业、乡村振兴、数字化政府、未来社区等方面做好政策资金支持。</w:t>
      </w:r>
    </w:p>
    <w:p>
      <w:pPr>
        <w:keepNext w:val="0"/>
        <w:keepLines w:val="0"/>
        <w:pageBreakBefore w:val="0"/>
        <w:widowControl w:val="0"/>
        <w:kinsoku/>
        <w:wordWrap/>
        <w:overflowPunct/>
        <w:topLinePunct w:val="0"/>
        <w:autoSpaceDE w:val="0"/>
        <w:autoSpaceDN w:val="0"/>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i w:val="0"/>
          <w:caps w:val="0"/>
          <w:color w:val="auto"/>
          <w:spacing w:val="0"/>
          <w:kern w:val="0"/>
          <w:sz w:val="32"/>
          <w:szCs w:val="32"/>
          <w:shd w:val="clear" w:color="auto" w:fill="FFFFFF"/>
          <w:vertAlign w:val="baseline"/>
          <w:lang w:val="en-US" w:eastAsia="zh-CN" w:bidi="ar"/>
        </w:rPr>
        <w:t>3．强化精细管理，提升科学理财水平。</w:t>
      </w:r>
      <w:r>
        <w:rPr>
          <w:rFonts w:hint="default" w:ascii="Times New Roman" w:hAnsi="Times New Roman" w:eastAsia="仿宋_GB2312" w:cs="Times New Roman"/>
          <w:color w:val="auto"/>
          <w:kern w:val="2"/>
          <w:sz w:val="32"/>
          <w:szCs w:val="32"/>
          <w:lang w:val="en-US" w:eastAsia="zh-CN" w:bidi="ar-SA"/>
        </w:rPr>
        <w:t>牢固树立铁心过紧日子思想，严格控制和压缩一般性支出。</w:t>
      </w:r>
      <w:r>
        <w:rPr>
          <w:rFonts w:hint="default" w:ascii="Times New Roman" w:hAnsi="Times New Roman" w:eastAsia="仿宋_GB2312" w:cs="Times New Roman"/>
          <w:color w:val="auto"/>
          <w:sz w:val="32"/>
          <w:szCs w:val="32"/>
        </w:rPr>
        <w:t>大力推进财政</w:t>
      </w:r>
      <w:r>
        <w:rPr>
          <w:rFonts w:hint="default" w:ascii="Times New Roman" w:hAnsi="Times New Roman" w:eastAsia="仿宋_GB2312" w:cs="Times New Roman"/>
          <w:color w:val="auto"/>
          <w:kern w:val="2"/>
          <w:sz w:val="32"/>
          <w:szCs w:val="32"/>
          <w:lang w:val="en-US" w:eastAsia="zh-CN" w:bidi="ar-SA"/>
        </w:rPr>
        <w:t>数字化改革，迭代升级预算管理一体化、统一公共支付平台、政采云、电子票据、政府债务“鹰眼护航”等系统，积极开展公款竞争性存放网上招标试点，全面提升财政管理的数字化智能化智慧化水平，确保资金安全运行、有效使用。</w:t>
      </w:r>
    </w:p>
    <w:p>
      <w:pPr>
        <w:keepNext w:val="0"/>
        <w:keepLines w:val="0"/>
        <w:pageBreakBefore w:val="0"/>
        <w:kinsoku/>
        <w:wordWrap/>
        <w:overflowPunct/>
        <w:topLinePunct w:val="0"/>
        <w:bidi w:val="0"/>
        <w:adjustRightInd/>
        <w:snapToGrid/>
        <w:spacing w:line="576" w:lineRule="exact"/>
        <w:ind w:left="0" w:leftChars="0" w:right="0" w:rightChars="0" w:firstLine="643" w:firstLineChars="200"/>
        <w:jc w:val="both"/>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i w:val="0"/>
          <w:caps w:val="0"/>
          <w:color w:val="auto"/>
          <w:spacing w:val="0"/>
          <w:kern w:val="0"/>
          <w:sz w:val="32"/>
          <w:szCs w:val="32"/>
          <w:shd w:val="clear" w:color="auto" w:fill="FFFFFF"/>
          <w:vertAlign w:val="baseline"/>
          <w:lang w:val="en-US" w:eastAsia="zh-CN" w:bidi="ar"/>
        </w:rPr>
        <w:t>4．</w:t>
      </w:r>
      <w:r>
        <w:rPr>
          <w:rFonts w:hint="default" w:ascii="Times New Roman" w:hAnsi="Times New Roman" w:eastAsia="仿宋_GB2312" w:cs="Times New Roman"/>
          <w:b/>
          <w:bCs w:val="0"/>
          <w:i w:val="0"/>
          <w:caps w:val="0"/>
          <w:color w:val="auto"/>
          <w:spacing w:val="0"/>
          <w:kern w:val="0"/>
          <w:sz w:val="32"/>
          <w:szCs w:val="32"/>
          <w:shd w:val="clear" w:color="auto" w:fill="FFFFFF"/>
          <w:vertAlign w:val="baseline"/>
          <w:lang w:val="en-US" w:eastAsia="zh-CN" w:bidi="ar"/>
        </w:rPr>
        <w:t>凝聚部门合力，</w:t>
      </w:r>
      <w:r>
        <w:rPr>
          <w:rFonts w:hint="default" w:ascii="Times New Roman" w:hAnsi="Times New Roman" w:eastAsia="仿宋_GB2312" w:cs="Times New Roman"/>
          <w:b/>
          <w:bCs w:val="0"/>
          <w:color w:val="auto"/>
          <w:sz w:val="32"/>
          <w:szCs w:val="32"/>
          <w:lang w:val="en-US" w:eastAsia="zh-CN"/>
        </w:rPr>
        <w:t>全力以赴向上争取。</w:t>
      </w:r>
      <w:r>
        <w:rPr>
          <w:rFonts w:hint="default" w:ascii="Times New Roman" w:hAnsi="Times New Roman" w:eastAsia="仿宋_GB2312" w:cs="Times New Roman"/>
          <w:color w:val="auto"/>
          <w:kern w:val="2"/>
          <w:sz w:val="32"/>
          <w:szCs w:val="32"/>
          <w:lang w:val="en-US" w:eastAsia="zh-CN" w:bidi="ar-SA"/>
        </w:rPr>
        <w:t>持续关注绿色发展财政奖补情况动态，争取今年我县出境水奖补规模继续保持较高水平。进一步修改完善向上争取资金考核办法，更大程度发挥考核办法倒逼作用。努力争取市“大花园”区域母基金对我县重点项目进行投资。</w:t>
      </w:r>
    </w:p>
    <w:p>
      <w:pPr>
        <w:pStyle w:val="3"/>
        <w:keepNext w:val="0"/>
        <w:keepLines w:val="0"/>
        <w:pageBreakBefore w:val="0"/>
        <w:widowControl w:val="0"/>
        <w:kinsoku/>
        <w:wordWrap/>
        <w:overflowPunct/>
        <w:topLinePunct w:val="0"/>
        <w:autoSpaceDE w:val="0"/>
        <w:autoSpaceDN w:val="0"/>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5</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kern w:val="2"/>
          <w:sz w:val="32"/>
          <w:szCs w:val="32"/>
          <w:lang w:val="en-US" w:eastAsia="zh-CN" w:bidi="ar-SA"/>
        </w:rPr>
        <w:t>突出底线思维，积极防范化解财政风险。</w:t>
      </w:r>
      <w:r>
        <w:rPr>
          <w:rFonts w:hint="default" w:ascii="Times New Roman" w:hAnsi="Times New Roman" w:eastAsia="仿宋_GB2312" w:cs="Times New Roman"/>
          <w:color w:val="auto"/>
          <w:kern w:val="2"/>
          <w:sz w:val="32"/>
          <w:szCs w:val="32"/>
          <w:lang w:val="en-US" w:eastAsia="zh-CN" w:bidi="ar-SA"/>
        </w:rPr>
        <w:t>防范化解地方政府性债务风险，严格专项债券项目合规性审核和风险把控，严格落实收支平衡有关要求。防范化解社保基金风险，完善社保风险准备金管理，加强基金运行风险预警预测。防范化解乡镇财政风险，以乡镇内部控制信息化平台试点为契机，持续加强财政监督，确保基层财政资金安全。</w:t>
      </w:r>
    </w:p>
    <w:p>
      <w:pPr>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br w:type="page"/>
      </w:r>
    </w:p>
    <w:p>
      <w:pPr>
        <w:keepNext w:val="0"/>
        <w:keepLines w:val="0"/>
        <w:pageBreakBefore w:val="0"/>
        <w:widowControl w:val="0"/>
        <w:kinsoku/>
        <w:wordWrap w:val="0"/>
        <w:overflowPunct/>
        <w:autoSpaceDE/>
        <w:autoSpaceDN/>
        <w:bidi w:val="0"/>
        <w:adjustRightInd/>
        <w:snapToGrid/>
        <w:spacing w:line="530" w:lineRule="exact"/>
        <w:jc w:val="center"/>
        <w:textAlignment w:val="auto"/>
        <w:rPr>
          <w:rFonts w:hint="default" w:ascii="Times New Roman" w:hAnsi="Times New Roman" w:eastAsia="方正小标宋简体" w:cs="Times New Roman"/>
          <w:bCs/>
          <w:color w:val="auto"/>
          <w:sz w:val="44"/>
          <w:szCs w:val="44"/>
          <w:highlight w:val="none"/>
        </w:rPr>
      </w:pPr>
      <w:r>
        <w:rPr>
          <w:rFonts w:hint="default" w:ascii="Times New Roman" w:hAnsi="Times New Roman" w:eastAsia="方正小标宋简体" w:cs="Times New Roman"/>
          <w:bCs/>
          <w:color w:val="auto"/>
          <w:sz w:val="44"/>
          <w:szCs w:val="44"/>
          <w:highlight w:val="none"/>
        </w:rPr>
        <w:t>说   明</w:t>
      </w:r>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color w:val="auto"/>
          <w:sz w:val="32"/>
          <w:szCs w:val="32"/>
          <w:highlight w:val="none"/>
          <w:lang w:eastAsia="zh-CN"/>
        </w:rPr>
        <w:t>202</w:t>
      </w:r>
      <w:r>
        <w:rPr>
          <w:rFonts w:hint="default" w:ascii="Times New Roman" w:hAnsi="Times New Roman" w:eastAsia="黑体" w:cs="Times New Roman"/>
          <w:color w:val="auto"/>
          <w:sz w:val="32"/>
          <w:szCs w:val="32"/>
          <w:highlight w:val="none"/>
          <w:lang w:val="en-US" w:eastAsia="zh-CN"/>
        </w:rPr>
        <w:t>1</w:t>
      </w:r>
      <w:r>
        <w:rPr>
          <w:rFonts w:hint="default" w:ascii="Times New Roman" w:hAnsi="Times New Roman" w:eastAsia="黑体" w:cs="Times New Roman"/>
          <w:color w:val="auto"/>
          <w:sz w:val="32"/>
          <w:szCs w:val="32"/>
          <w:highlight w:val="none"/>
        </w:rPr>
        <w:t>年</w:t>
      </w:r>
      <w:r>
        <w:rPr>
          <w:rFonts w:hint="default" w:ascii="Times New Roman" w:hAnsi="Times New Roman" w:eastAsia="黑体" w:cs="Times New Roman"/>
          <w:color w:val="auto"/>
          <w:sz w:val="32"/>
          <w:szCs w:val="32"/>
          <w:highlight w:val="none"/>
          <w:lang w:val="en-US" w:eastAsia="zh-CN"/>
        </w:rPr>
        <w:t>1-6月</w:t>
      </w:r>
      <w:r>
        <w:rPr>
          <w:rFonts w:hint="default" w:ascii="Times New Roman" w:hAnsi="Times New Roman" w:eastAsia="黑体" w:cs="Times New Roman"/>
          <w:color w:val="auto"/>
          <w:sz w:val="32"/>
          <w:szCs w:val="32"/>
          <w:highlight w:val="none"/>
        </w:rPr>
        <w:t>一般公共预算</w:t>
      </w:r>
      <w:r>
        <w:rPr>
          <w:rFonts w:hint="eastAsia" w:ascii="Times New Roman" w:hAnsi="Times New Roman" w:eastAsia="黑体" w:cs="Times New Roman"/>
          <w:color w:val="auto"/>
          <w:sz w:val="32"/>
          <w:szCs w:val="32"/>
          <w:highlight w:val="none"/>
          <w:lang w:eastAsia="zh-CN"/>
        </w:rPr>
        <w:t>收支</w:t>
      </w:r>
      <w:r>
        <w:rPr>
          <w:rFonts w:hint="default" w:ascii="Times New Roman" w:hAnsi="Times New Roman" w:eastAsia="黑体" w:cs="Times New Roman"/>
          <w:color w:val="auto"/>
          <w:sz w:val="32"/>
          <w:szCs w:val="32"/>
          <w:highlight w:val="none"/>
        </w:rPr>
        <w:t>情况</w:t>
      </w:r>
    </w:p>
    <w:p>
      <w:pPr>
        <w:keepNext w:val="0"/>
        <w:keepLines w:val="0"/>
        <w:pageBreakBefore w:val="0"/>
        <w:widowControl w:val="0"/>
        <w:kinsoku/>
        <w:wordWrap/>
        <w:overflowPunct/>
        <w:topLinePunct/>
        <w:autoSpaceDE/>
        <w:autoSpaceDN/>
        <w:bidi w:val="0"/>
        <w:adjustRightInd/>
        <w:snapToGrid/>
        <w:spacing w:line="530" w:lineRule="exact"/>
        <w:ind w:firstLine="643" w:firstLineChars="200"/>
        <w:textAlignment w:val="auto"/>
        <w:rPr>
          <w:rFonts w:hint="default" w:ascii="Times New Roman" w:hAnsi="Times New Roman" w:cs="Times New Roman"/>
          <w:color w:val="auto"/>
          <w:sz w:val="32"/>
          <w:szCs w:val="32"/>
        </w:rPr>
      </w:pPr>
      <w:r>
        <w:rPr>
          <w:rFonts w:hint="default" w:ascii="Times New Roman" w:hAnsi="Times New Roman" w:eastAsia="楷体_GB2312" w:cs="Times New Roman"/>
          <w:b/>
          <w:color w:val="auto"/>
          <w:sz w:val="32"/>
          <w:szCs w:val="32"/>
          <w:highlight w:val="none"/>
        </w:rPr>
        <w:t>（一）收入</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color w:val="auto"/>
          <w:sz w:val="32"/>
          <w:szCs w:val="32"/>
          <w:highlight w:val="none"/>
        </w:rPr>
        <w:t>情况</w:t>
      </w:r>
    </w:p>
    <w:p>
      <w:pPr>
        <w:spacing w:line="520" w:lineRule="exact"/>
        <w:ind w:firstLine="68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1-6月，全县财政总收入</w:t>
      </w:r>
      <w:r>
        <w:rPr>
          <w:rFonts w:hint="default" w:ascii="Times New Roman" w:hAnsi="Times New Roman" w:eastAsia="仿宋_GB2312" w:cs="Times New Roman"/>
          <w:color w:val="auto"/>
          <w:sz w:val="32"/>
          <w:szCs w:val="32"/>
          <w:lang w:val="en-US" w:eastAsia="zh-CN"/>
        </w:rPr>
        <w:t>144474</w:t>
      </w:r>
      <w:r>
        <w:rPr>
          <w:rFonts w:hint="eastAsia" w:ascii="Times New Roman" w:hAnsi="Times New Roman" w:eastAsia="仿宋_GB2312" w:cs="Times New Roman"/>
          <w:color w:val="auto"/>
          <w:sz w:val="32"/>
          <w:szCs w:val="32"/>
          <w:lang w:val="en-US" w:eastAsia="zh-CN"/>
        </w:rPr>
        <w:t>万</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val="en-US" w:eastAsia="zh-CN"/>
        </w:rPr>
        <w:t>完成年初预算数的65.9%，</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28.7</w:t>
      </w:r>
      <w:r>
        <w:rPr>
          <w:rFonts w:hint="default" w:ascii="Times New Roman" w:hAnsi="Times New Roman" w:eastAsia="仿宋_GB2312" w:cs="Times New Roman"/>
          <w:color w:val="auto"/>
          <w:sz w:val="32"/>
          <w:szCs w:val="32"/>
        </w:rPr>
        <w:t>%。其中：一般公共预算收入</w:t>
      </w:r>
      <w:r>
        <w:rPr>
          <w:rFonts w:hint="default" w:ascii="Times New Roman" w:hAnsi="Times New Roman" w:eastAsia="仿宋_GB2312" w:cs="Times New Roman"/>
          <w:color w:val="auto"/>
          <w:sz w:val="32"/>
          <w:szCs w:val="32"/>
          <w:lang w:val="en-US" w:eastAsia="zh-CN"/>
        </w:rPr>
        <w:t>90953</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69.1</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30.4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w:t>
      </w:r>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收入分项目完成情况如下：</w:t>
      </w:r>
    </w:p>
    <w:p>
      <w:pPr>
        <w:numPr>
          <w:numId w:val="0"/>
        </w:numPr>
        <w:spacing w:line="52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增值税（地方部分、含改征增值税）收入</w:t>
      </w:r>
      <w:r>
        <w:rPr>
          <w:rFonts w:hint="default" w:ascii="Times New Roman" w:hAnsi="Times New Roman" w:eastAsia="仿宋_GB2312" w:cs="Times New Roman"/>
          <w:color w:val="auto"/>
          <w:sz w:val="32"/>
          <w:szCs w:val="32"/>
          <w:lang w:val="en-US" w:eastAsia="zh-CN"/>
        </w:rPr>
        <w:t>26818</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53.6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14.8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，主要依靠房地产业和批发零售业带动增值税增长</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企业所得税（40%部分）收入</w:t>
      </w:r>
      <w:r>
        <w:rPr>
          <w:rFonts w:hint="default" w:ascii="Times New Roman" w:hAnsi="Times New Roman" w:eastAsia="仿宋_GB2312" w:cs="Times New Roman"/>
          <w:color w:val="auto"/>
          <w:sz w:val="32"/>
          <w:szCs w:val="32"/>
          <w:lang w:val="en-US" w:eastAsia="zh-CN"/>
        </w:rPr>
        <w:t>15930</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71.1</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37.8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，主要是疫情好转后工厂恢复生产，企业利润逐步恢复增长。</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个人所得税（40%部分）收入</w:t>
      </w:r>
      <w:r>
        <w:rPr>
          <w:rFonts w:hint="default" w:ascii="Times New Roman" w:hAnsi="Times New Roman" w:eastAsia="仿宋_GB2312" w:cs="Times New Roman"/>
          <w:color w:val="auto"/>
          <w:sz w:val="32"/>
          <w:szCs w:val="32"/>
          <w:lang w:val="en-US" w:eastAsia="zh-CN"/>
        </w:rPr>
        <w:t>1865</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68.6</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52.0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，主要是居民收入增长及股利、股息、红利所得增加等。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资源税收入</w:t>
      </w:r>
      <w:r>
        <w:rPr>
          <w:rFonts w:hint="default" w:ascii="Times New Roman" w:hAnsi="Times New Roman" w:eastAsia="仿宋_GB2312" w:cs="Times New Roman"/>
          <w:color w:val="auto"/>
          <w:sz w:val="32"/>
          <w:szCs w:val="32"/>
          <w:lang w:val="en-US" w:eastAsia="zh-CN"/>
        </w:rPr>
        <w:t>1064</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76.0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73.0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，主要是部分矿产品价格上涨等。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城市维护建设税收入</w:t>
      </w:r>
      <w:r>
        <w:rPr>
          <w:rFonts w:hint="default" w:ascii="Times New Roman" w:hAnsi="Times New Roman" w:eastAsia="仿宋_GB2312" w:cs="Times New Roman"/>
          <w:color w:val="auto"/>
          <w:sz w:val="32"/>
          <w:szCs w:val="32"/>
          <w:lang w:val="en-US" w:eastAsia="zh-CN"/>
        </w:rPr>
        <w:t>2925</w:t>
      </w:r>
      <w:r>
        <w:rPr>
          <w:rFonts w:hint="default" w:ascii="Times New Roman" w:hAnsi="Times New Roman" w:eastAsia="仿宋_GB2312" w:cs="Times New Roman"/>
          <w:color w:val="auto"/>
          <w:sz w:val="32"/>
          <w:szCs w:val="32"/>
        </w:rPr>
        <w:t>万元，完成年初预算数的4</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13.7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，主要是增值税收入增长带动城镇维护建设税收入增长等。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房产税收入</w:t>
      </w:r>
      <w:r>
        <w:rPr>
          <w:rFonts w:hint="default" w:ascii="Times New Roman" w:hAnsi="Times New Roman" w:eastAsia="仿宋_GB2312" w:cs="Times New Roman"/>
          <w:color w:val="auto"/>
          <w:sz w:val="32"/>
          <w:szCs w:val="32"/>
          <w:lang w:val="en-US" w:eastAsia="zh-CN"/>
        </w:rPr>
        <w:t>2374</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237.4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下降</w:t>
      </w:r>
      <w:r>
        <w:rPr>
          <w:rFonts w:hint="default" w:ascii="Times New Roman" w:hAnsi="Times New Roman" w:eastAsia="仿宋_GB2312" w:cs="Times New Roman"/>
          <w:color w:val="auto"/>
          <w:sz w:val="32"/>
          <w:szCs w:val="32"/>
          <w:lang w:val="en-US" w:eastAsia="zh-CN"/>
        </w:rPr>
        <w:t>8.8%。</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印花税收入</w:t>
      </w:r>
      <w:r>
        <w:rPr>
          <w:rFonts w:hint="default" w:ascii="Times New Roman" w:hAnsi="Times New Roman" w:eastAsia="仿宋_GB2312" w:cs="Times New Roman"/>
          <w:color w:val="auto"/>
          <w:sz w:val="32"/>
          <w:szCs w:val="32"/>
          <w:lang w:val="en-US" w:eastAsia="zh-CN"/>
        </w:rPr>
        <w:t>1122</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62.3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87.6%</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城镇土地使用税收入</w:t>
      </w:r>
      <w:r>
        <w:rPr>
          <w:rFonts w:hint="default" w:ascii="Times New Roman" w:hAnsi="Times New Roman" w:eastAsia="仿宋_GB2312" w:cs="Times New Roman"/>
          <w:color w:val="auto"/>
          <w:sz w:val="32"/>
          <w:szCs w:val="32"/>
          <w:lang w:val="en-US" w:eastAsia="zh-CN"/>
        </w:rPr>
        <w:t>2136</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213.6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下降</w:t>
      </w:r>
      <w:r>
        <w:rPr>
          <w:rFonts w:hint="default" w:ascii="Times New Roman" w:hAnsi="Times New Roman" w:eastAsia="仿宋_GB2312" w:cs="Times New Roman"/>
          <w:color w:val="auto"/>
          <w:sz w:val="32"/>
          <w:szCs w:val="32"/>
          <w:lang w:val="en-US" w:eastAsia="zh-CN"/>
        </w:rPr>
        <w:t>31.6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主要是部分企业重新核算土地面积后，应缴税款减少</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土地增值税收入</w:t>
      </w:r>
      <w:r>
        <w:rPr>
          <w:rFonts w:hint="default" w:ascii="Times New Roman" w:hAnsi="Times New Roman" w:eastAsia="仿宋_GB2312" w:cs="Times New Roman"/>
          <w:color w:val="auto"/>
          <w:sz w:val="32"/>
          <w:szCs w:val="32"/>
          <w:lang w:val="en-US" w:eastAsia="zh-CN"/>
        </w:rPr>
        <w:t>8301</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92.2</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343.2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，主要是部分土地增值税结转至</w:t>
      </w:r>
      <w:r>
        <w:rPr>
          <w:rFonts w:hint="default" w:ascii="Times New Roman" w:hAnsi="Times New Roman" w:eastAsia="仿宋_GB2312" w:cs="Times New Roman"/>
          <w:color w:val="auto"/>
          <w:sz w:val="32"/>
          <w:szCs w:val="32"/>
          <w:lang w:val="en-US" w:eastAsia="zh-CN"/>
        </w:rPr>
        <w:t>2021年入库</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车船税收入</w:t>
      </w:r>
      <w:r>
        <w:rPr>
          <w:rFonts w:hint="default" w:ascii="Times New Roman" w:hAnsi="Times New Roman" w:eastAsia="仿宋_GB2312" w:cs="Times New Roman"/>
          <w:color w:val="auto"/>
          <w:sz w:val="32"/>
          <w:szCs w:val="32"/>
          <w:lang w:val="en-US" w:eastAsia="zh-CN"/>
        </w:rPr>
        <w:t>538</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59.8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22.8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环境保护税收入209万元，完成年初预算数的41.8%</w:t>
      </w:r>
      <w:r>
        <w:rPr>
          <w:rFonts w:hint="eastAsia"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契税收入为</w:t>
      </w:r>
      <w:r>
        <w:rPr>
          <w:rFonts w:hint="default" w:ascii="Times New Roman" w:hAnsi="Times New Roman" w:eastAsia="仿宋_GB2312" w:cs="Times New Roman"/>
          <w:color w:val="auto"/>
          <w:sz w:val="32"/>
          <w:szCs w:val="32"/>
          <w:lang w:val="en-US" w:eastAsia="zh-CN"/>
        </w:rPr>
        <w:t>10306</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79.3</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329.6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，主要是衢州鸿基置业有限公司和衢州市杉德房地产开发有限公司等企业土地出让缴纳大额税款。</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耕地占用税收入</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3万元，</w:t>
      </w:r>
      <w:r>
        <w:rPr>
          <w:rFonts w:hint="default" w:ascii="Times New Roman" w:hAnsi="Times New Roman" w:eastAsia="仿宋_GB2312" w:cs="Times New Roman"/>
          <w:color w:val="auto"/>
          <w:sz w:val="32"/>
          <w:szCs w:val="32"/>
        </w:rPr>
        <w:t>完成年初预算数的0.</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333.3%</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lang w:val="en-US" w:eastAsia="zh-CN"/>
        </w:rPr>
        <w:t>环保税收入209万元，</w:t>
      </w:r>
      <w:r>
        <w:rPr>
          <w:rFonts w:hint="default" w:ascii="Times New Roman" w:hAnsi="Times New Roman" w:eastAsia="仿宋_GB2312" w:cs="Times New Roman"/>
          <w:color w:val="auto"/>
          <w:sz w:val="32"/>
          <w:szCs w:val="32"/>
        </w:rPr>
        <w:t>完成年初预算数的</w:t>
      </w:r>
      <w:r>
        <w:rPr>
          <w:rFonts w:hint="default" w:ascii="Times New Roman" w:hAnsi="Times New Roman" w:eastAsia="仿宋_GB2312" w:cs="Times New Roman"/>
          <w:color w:val="auto"/>
          <w:sz w:val="32"/>
          <w:szCs w:val="32"/>
          <w:lang w:val="en-US" w:eastAsia="zh-CN"/>
        </w:rPr>
        <w:t>41.8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专项收入</w:t>
      </w:r>
      <w:r>
        <w:rPr>
          <w:rFonts w:hint="default" w:ascii="Times New Roman" w:hAnsi="Times New Roman" w:eastAsia="仿宋_GB2312" w:cs="Times New Roman"/>
          <w:color w:val="auto"/>
          <w:sz w:val="32"/>
          <w:szCs w:val="32"/>
          <w:lang w:val="en-US" w:eastAsia="zh-CN"/>
        </w:rPr>
        <w:t>4346</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62.0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38</w:t>
      </w:r>
      <w:r>
        <w:rPr>
          <w:rFonts w:hint="default"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eastAsia="zh-CN"/>
        </w:rPr>
        <w:t>，主要是森林植被恢复费收入</w:t>
      </w:r>
      <w:r>
        <w:rPr>
          <w:rFonts w:hint="eastAsia" w:ascii="Times New Roman" w:hAnsi="Times New Roman" w:eastAsia="仿宋_GB2312" w:cs="Times New Roman"/>
          <w:color w:val="auto"/>
          <w:sz w:val="32"/>
          <w:szCs w:val="32"/>
          <w:lang w:val="en-US" w:eastAsia="zh-CN"/>
        </w:rPr>
        <w:t>1693万元，较上年增收835万元</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行政事业性收费收入</w:t>
      </w:r>
      <w:r>
        <w:rPr>
          <w:rFonts w:hint="default" w:ascii="Times New Roman" w:hAnsi="Times New Roman" w:eastAsia="仿宋_GB2312" w:cs="Times New Roman"/>
          <w:color w:val="auto"/>
          <w:sz w:val="32"/>
          <w:szCs w:val="32"/>
          <w:lang w:val="en-US" w:eastAsia="zh-CN"/>
        </w:rPr>
        <w:t>2986</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135.7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下降</w:t>
      </w:r>
      <w:r>
        <w:rPr>
          <w:rFonts w:hint="default" w:ascii="Times New Roman" w:hAnsi="Times New Roman" w:eastAsia="仿宋_GB2312" w:cs="Times New Roman"/>
          <w:color w:val="auto"/>
          <w:sz w:val="32"/>
          <w:szCs w:val="32"/>
          <w:lang w:val="en-US" w:eastAsia="zh-CN"/>
        </w:rPr>
        <w:t>34.7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，主要是上年同期缴纳耕地开垦费</w:t>
      </w:r>
      <w:r>
        <w:rPr>
          <w:rFonts w:hint="default" w:ascii="Times New Roman" w:hAnsi="Times New Roman" w:eastAsia="仿宋_GB2312" w:cs="Times New Roman"/>
          <w:color w:val="auto"/>
          <w:sz w:val="32"/>
          <w:szCs w:val="32"/>
          <w:lang w:val="en-US" w:eastAsia="zh-CN"/>
        </w:rPr>
        <w:t>2949万元</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罚没收入</w:t>
      </w:r>
      <w:r>
        <w:rPr>
          <w:rFonts w:hint="default" w:ascii="Times New Roman" w:hAnsi="Times New Roman" w:eastAsia="仿宋_GB2312" w:cs="Times New Roman"/>
          <w:color w:val="auto"/>
          <w:sz w:val="32"/>
          <w:szCs w:val="32"/>
          <w:lang w:val="en-US" w:eastAsia="zh-CN"/>
        </w:rPr>
        <w:t>5770</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124.6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85.8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，主要是法院罚没收入入库</w:t>
      </w:r>
      <w:r>
        <w:rPr>
          <w:rFonts w:hint="default" w:ascii="Times New Roman" w:hAnsi="Times New Roman" w:eastAsia="仿宋_GB2312" w:cs="Times New Roman"/>
          <w:color w:val="auto"/>
          <w:sz w:val="32"/>
          <w:szCs w:val="32"/>
          <w:lang w:val="en-US" w:eastAsia="zh-CN"/>
        </w:rPr>
        <w:t>2208万元</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国有资源(资产)有偿使用收入</w:t>
      </w:r>
      <w:r>
        <w:rPr>
          <w:rFonts w:hint="default" w:ascii="Times New Roman" w:hAnsi="Times New Roman" w:eastAsia="仿宋_GB2312" w:cs="Times New Roman"/>
          <w:color w:val="auto"/>
          <w:sz w:val="32"/>
          <w:szCs w:val="32"/>
          <w:lang w:val="en-US" w:eastAsia="zh-CN"/>
        </w:rPr>
        <w:t>3520</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108.3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下降</w:t>
      </w:r>
      <w:r>
        <w:rPr>
          <w:rFonts w:hint="default" w:ascii="Times New Roman" w:hAnsi="Times New Roman" w:eastAsia="仿宋_GB2312" w:cs="Times New Roman"/>
          <w:color w:val="auto"/>
          <w:sz w:val="32"/>
          <w:szCs w:val="32"/>
          <w:lang w:val="en-US" w:eastAsia="zh-CN"/>
        </w:rPr>
        <w:t>53.1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，主要是上年同期缴入历年专户利息收入</w:t>
      </w:r>
      <w:r>
        <w:rPr>
          <w:rFonts w:hint="default" w:ascii="Times New Roman" w:hAnsi="Times New Roman" w:eastAsia="仿宋_GB2312" w:cs="Times New Roman"/>
          <w:color w:val="auto"/>
          <w:sz w:val="32"/>
          <w:szCs w:val="32"/>
          <w:lang w:val="en-US" w:eastAsia="zh-CN"/>
        </w:rPr>
        <w:t>5429万元</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政府住房基金收入</w:t>
      </w:r>
      <w:r>
        <w:rPr>
          <w:rFonts w:hint="default" w:ascii="Times New Roman" w:hAnsi="Times New Roman" w:eastAsia="仿宋_GB2312" w:cs="Times New Roman"/>
          <w:color w:val="auto"/>
          <w:sz w:val="32"/>
          <w:szCs w:val="32"/>
          <w:lang w:val="en-US" w:eastAsia="zh-CN"/>
        </w:rPr>
        <w:t>91</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10.7</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下降</w:t>
      </w:r>
      <w:r>
        <w:rPr>
          <w:rFonts w:hint="default" w:ascii="Times New Roman" w:hAnsi="Times New Roman" w:eastAsia="仿宋_GB2312" w:cs="Times New Roman"/>
          <w:color w:val="auto"/>
          <w:sz w:val="32"/>
          <w:szCs w:val="32"/>
          <w:lang w:val="en-US" w:eastAsia="zh-CN"/>
        </w:rPr>
        <w:t>88.8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捐赠收入</w:t>
      </w:r>
      <w:r>
        <w:rPr>
          <w:rFonts w:hint="default" w:ascii="Times New Roman" w:hAnsi="Times New Roman" w:eastAsia="仿宋_GB2312" w:cs="Times New Roman"/>
          <w:color w:val="auto"/>
          <w:sz w:val="32"/>
          <w:szCs w:val="32"/>
          <w:lang w:val="en-US" w:eastAsia="zh-CN"/>
        </w:rPr>
        <w:t>639万元。</w:t>
      </w:r>
    </w:p>
    <w:p>
      <w:pPr>
        <w:keepNext w:val="0"/>
        <w:keepLines w:val="0"/>
        <w:pageBreakBefore w:val="0"/>
        <w:widowControl w:val="0"/>
        <w:kinsoku/>
        <w:overflowPunct/>
        <w:topLinePunct/>
        <w:autoSpaceDE/>
        <w:autoSpaceDN/>
        <w:bidi w:val="0"/>
        <w:adjustRightInd/>
        <w:snapToGrid/>
        <w:spacing w:line="550" w:lineRule="exact"/>
        <w:ind w:firstLine="643"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eastAsia="楷体_GB2312" w:cs="Times New Roman"/>
          <w:b/>
          <w:color w:val="auto"/>
          <w:sz w:val="32"/>
          <w:szCs w:val="32"/>
          <w:highlight w:val="none"/>
        </w:rPr>
        <w:t>（二）支出</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color w:val="auto"/>
          <w:sz w:val="32"/>
          <w:szCs w:val="32"/>
          <w:highlight w:val="none"/>
        </w:rPr>
        <w:t>情况</w:t>
      </w:r>
    </w:p>
    <w:p>
      <w:pPr>
        <w:spacing w:line="52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1-6</w:t>
      </w:r>
      <w:r>
        <w:rPr>
          <w:rFonts w:hint="default" w:ascii="Times New Roman" w:hAnsi="Times New Roman" w:eastAsia="仿宋_GB2312" w:cs="Times New Roman"/>
          <w:color w:val="auto"/>
          <w:sz w:val="32"/>
          <w:szCs w:val="32"/>
        </w:rPr>
        <w:t>月，全县一般公共预算支出</w:t>
      </w:r>
      <w:r>
        <w:rPr>
          <w:rFonts w:hint="default" w:ascii="Times New Roman" w:hAnsi="Times New Roman" w:eastAsia="仿宋_GB2312" w:cs="Times New Roman"/>
          <w:color w:val="auto"/>
          <w:sz w:val="32"/>
          <w:szCs w:val="32"/>
          <w:lang w:val="en-US" w:eastAsia="zh-CN"/>
        </w:rPr>
        <w:t>344349</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完成年初预算数的</w:t>
      </w:r>
      <w:r>
        <w:rPr>
          <w:rFonts w:hint="default" w:ascii="Times New Roman" w:hAnsi="Times New Roman" w:eastAsia="仿宋_GB2312" w:cs="Times New Roman"/>
          <w:color w:val="auto"/>
          <w:sz w:val="32"/>
          <w:szCs w:val="32"/>
          <w:lang w:val="en-US" w:eastAsia="zh-CN"/>
        </w:rPr>
        <w:t>67.7%，</w:t>
      </w:r>
      <w:r>
        <w:rPr>
          <w:rFonts w:hint="default" w:ascii="Times New Roman" w:hAnsi="Times New Roman" w:eastAsia="仿宋_GB2312" w:cs="Times New Roman"/>
          <w:color w:val="auto"/>
          <w:sz w:val="32"/>
          <w:szCs w:val="32"/>
          <w:lang w:eastAsia="zh-CN"/>
        </w:rPr>
        <w:t>增长</w:t>
      </w:r>
      <w:r>
        <w:rPr>
          <w:rFonts w:hint="default" w:ascii="Times New Roman" w:hAnsi="Times New Roman" w:eastAsia="仿宋_GB2312" w:cs="Times New Roman"/>
          <w:color w:val="auto"/>
          <w:sz w:val="32"/>
          <w:szCs w:val="32"/>
          <w:lang w:val="en-US" w:eastAsia="zh-CN"/>
        </w:rPr>
        <w:t>20.4</w:t>
      </w:r>
      <w:r>
        <w:rPr>
          <w:rFonts w:hint="default" w:ascii="Times New Roman" w:hAnsi="Times New Roman" w:eastAsia="仿宋_GB2312" w:cs="Times New Roman"/>
          <w:color w:val="auto"/>
          <w:sz w:val="32"/>
          <w:szCs w:val="32"/>
        </w:rPr>
        <w:t>%。</w:t>
      </w:r>
    </w:p>
    <w:p>
      <w:pPr>
        <w:keepNext w:val="0"/>
        <w:keepLines w:val="0"/>
        <w:pageBreakBefore w:val="0"/>
        <w:widowControl w:val="0"/>
        <w:kinsoku/>
        <w:overflowPunct/>
        <w:topLinePunct/>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支出分项目完成情况如下：</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一般公共服</w:t>
      </w:r>
      <w:r>
        <w:rPr>
          <w:rFonts w:hint="default" w:ascii="Times New Roman" w:hAnsi="Times New Roman" w:eastAsia="仿宋_GB2312" w:cs="Times New Roman"/>
          <w:color w:val="auto"/>
          <w:sz w:val="32"/>
          <w:szCs w:val="32"/>
          <w:lang w:val="en-US" w:eastAsia="zh-CN"/>
        </w:rPr>
        <w:t>务支出</w:t>
      </w:r>
      <w:r>
        <w:rPr>
          <w:rFonts w:hint="default" w:ascii="Times New Roman" w:hAnsi="Times New Roman" w:eastAsia="仿宋_GB2312" w:cs="Times New Roman"/>
          <w:color w:val="auto"/>
          <w:sz w:val="32"/>
          <w:szCs w:val="32"/>
          <w:lang w:val="en-US" w:eastAsia="zh-CN"/>
        </w:rPr>
        <w:t>30326万元，完成年初预算数的</w:t>
      </w:r>
      <w:r>
        <w:rPr>
          <w:rFonts w:hint="default" w:ascii="Times New Roman" w:hAnsi="Times New Roman" w:eastAsia="仿宋_GB2312" w:cs="Times New Roman"/>
          <w:color w:val="auto"/>
          <w:sz w:val="32"/>
          <w:szCs w:val="32"/>
          <w:lang w:val="en-US" w:eastAsia="zh-CN"/>
        </w:rPr>
        <w:t>68.5%，增长</w:t>
      </w:r>
      <w:r>
        <w:rPr>
          <w:rFonts w:hint="default" w:ascii="Times New Roman" w:hAnsi="Times New Roman" w:eastAsia="仿宋_GB2312" w:cs="Times New Roman"/>
          <w:color w:val="auto"/>
          <w:sz w:val="32"/>
          <w:szCs w:val="32"/>
          <w:lang w:val="en-US" w:eastAsia="zh-CN"/>
        </w:rPr>
        <w:t>2.6%。</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公共安全支出</w:t>
      </w:r>
      <w:r>
        <w:rPr>
          <w:rFonts w:hint="default" w:ascii="Times New Roman" w:hAnsi="Times New Roman" w:eastAsia="仿宋_GB2312" w:cs="Times New Roman"/>
          <w:color w:val="auto"/>
          <w:sz w:val="32"/>
          <w:szCs w:val="32"/>
          <w:lang w:val="en-US" w:eastAsia="zh-CN"/>
        </w:rPr>
        <w:t>12957万元，完成年初预算数的</w:t>
      </w:r>
      <w:r>
        <w:rPr>
          <w:rFonts w:hint="default" w:ascii="Times New Roman" w:hAnsi="Times New Roman" w:eastAsia="仿宋_GB2312" w:cs="Times New Roman"/>
          <w:color w:val="auto"/>
          <w:sz w:val="32"/>
          <w:szCs w:val="32"/>
          <w:lang w:val="en-US" w:eastAsia="zh-CN"/>
        </w:rPr>
        <w:t>61.7%，下降</w:t>
      </w:r>
      <w:r>
        <w:rPr>
          <w:rFonts w:hint="default" w:ascii="Times New Roman" w:hAnsi="Times New Roman" w:eastAsia="仿宋_GB2312" w:cs="Times New Roman"/>
          <w:color w:val="auto"/>
          <w:sz w:val="32"/>
          <w:szCs w:val="32"/>
          <w:lang w:val="en-US" w:eastAsia="zh-CN"/>
        </w:rPr>
        <w:t>5.6%。</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教育支出</w:t>
      </w:r>
      <w:r>
        <w:rPr>
          <w:rFonts w:hint="default" w:ascii="Times New Roman" w:hAnsi="Times New Roman" w:eastAsia="仿宋_GB2312" w:cs="Times New Roman"/>
          <w:color w:val="auto"/>
          <w:sz w:val="32"/>
          <w:szCs w:val="32"/>
          <w:lang w:val="en-US" w:eastAsia="zh-CN"/>
        </w:rPr>
        <w:t>39816万元，完成年初预算数的</w:t>
      </w:r>
      <w:r>
        <w:rPr>
          <w:rFonts w:hint="default" w:ascii="Times New Roman" w:hAnsi="Times New Roman" w:eastAsia="仿宋_GB2312" w:cs="Times New Roman"/>
          <w:color w:val="auto"/>
          <w:sz w:val="32"/>
          <w:szCs w:val="32"/>
          <w:lang w:val="en-US" w:eastAsia="zh-CN"/>
        </w:rPr>
        <w:t>61.9%，增长</w:t>
      </w:r>
      <w:r>
        <w:rPr>
          <w:rFonts w:hint="default" w:ascii="Times New Roman" w:hAnsi="Times New Roman" w:eastAsia="仿宋_GB2312" w:cs="Times New Roman"/>
          <w:color w:val="auto"/>
          <w:sz w:val="32"/>
          <w:szCs w:val="32"/>
          <w:lang w:val="en-US" w:eastAsia="zh-CN"/>
        </w:rPr>
        <w:t>24.5%，主要是发放</w:t>
      </w:r>
      <w:r>
        <w:rPr>
          <w:rFonts w:hint="default" w:ascii="Times New Roman" w:hAnsi="Times New Roman" w:eastAsia="仿宋_GB2312" w:cs="Times New Roman"/>
          <w:color w:val="auto"/>
          <w:sz w:val="32"/>
          <w:szCs w:val="32"/>
          <w:lang w:val="en-US" w:eastAsia="zh-CN"/>
        </w:rPr>
        <w:t>教育奖励资金</w:t>
      </w:r>
      <w:r>
        <w:rPr>
          <w:rFonts w:hint="eastAsia" w:ascii="Times New Roman" w:hAnsi="Times New Roman" w:eastAsia="仿宋_GB2312" w:cs="Times New Roman"/>
          <w:color w:val="auto"/>
          <w:sz w:val="32"/>
          <w:szCs w:val="32"/>
          <w:lang w:val="en-US" w:eastAsia="zh-CN"/>
        </w:rPr>
        <w:t>11000万</w:t>
      </w:r>
      <w:r>
        <w:rPr>
          <w:rFonts w:hint="default" w:ascii="Times New Roman" w:hAnsi="Times New Roman" w:eastAsia="仿宋_GB2312" w:cs="Times New Roman"/>
          <w:color w:val="auto"/>
          <w:sz w:val="32"/>
          <w:szCs w:val="32"/>
          <w:lang w:val="en-US" w:eastAsia="zh-CN"/>
        </w:rPr>
        <w:t>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科学技术支出</w:t>
      </w:r>
      <w:r>
        <w:rPr>
          <w:rFonts w:hint="default" w:ascii="Times New Roman" w:hAnsi="Times New Roman" w:eastAsia="仿宋_GB2312" w:cs="Times New Roman"/>
          <w:color w:val="auto"/>
          <w:sz w:val="32"/>
          <w:szCs w:val="32"/>
          <w:lang w:val="en-US" w:eastAsia="zh-CN"/>
        </w:rPr>
        <w:t>5576万元，完成年初预算数的</w:t>
      </w:r>
      <w:r>
        <w:rPr>
          <w:rFonts w:hint="default" w:ascii="Times New Roman" w:hAnsi="Times New Roman" w:eastAsia="仿宋_GB2312" w:cs="Times New Roman"/>
          <w:color w:val="auto"/>
          <w:sz w:val="32"/>
          <w:szCs w:val="32"/>
          <w:lang w:val="en-US" w:eastAsia="zh-CN"/>
        </w:rPr>
        <w:t>44.5%，下降</w:t>
      </w:r>
      <w:r>
        <w:rPr>
          <w:rFonts w:hint="default" w:ascii="Times New Roman" w:hAnsi="Times New Roman" w:eastAsia="仿宋_GB2312" w:cs="Times New Roman"/>
          <w:color w:val="auto"/>
          <w:sz w:val="32"/>
          <w:szCs w:val="32"/>
          <w:lang w:val="en-US" w:eastAsia="zh-CN"/>
        </w:rPr>
        <w:t>6.2%，主要是上年同期拨付常山县经济技术开发区体制资金1000万元等。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文化旅游体育与传媒支出</w:t>
      </w:r>
      <w:r>
        <w:rPr>
          <w:rFonts w:hint="default" w:ascii="Times New Roman" w:hAnsi="Times New Roman" w:eastAsia="仿宋_GB2312" w:cs="Times New Roman"/>
          <w:color w:val="auto"/>
          <w:sz w:val="32"/>
          <w:szCs w:val="32"/>
          <w:lang w:val="en-US" w:eastAsia="zh-CN"/>
        </w:rPr>
        <w:t>5644万元，完成年初预算数的</w:t>
      </w:r>
      <w:r>
        <w:rPr>
          <w:rFonts w:hint="default" w:ascii="Times New Roman" w:hAnsi="Times New Roman" w:eastAsia="仿宋_GB2312" w:cs="Times New Roman"/>
          <w:color w:val="auto"/>
          <w:sz w:val="32"/>
          <w:szCs w:val="32"/>
          <w:lang w:val="en-US" w:eastAsia="zh-CN"/>
        </w:rPr>
        <w:t>61.9%，增长</w:t>
      </w:r>
      <w:r>
        <w:rPr>
          <w:rFonts w:hint="default" w:ascii="Times New Roman" w:hAnsi="Times New Roman" w:eastAsia="仿宋_GB2312" w:cs="Times New Roman"/>
          <w:color w:val="auto"/>
          <w:sz w:val="32"/>
          <w:szCs w:val="32"/>
          <w:lang w:val="en-US" w:eastAsia="zh-CN"/>
        </w:rPr>
        <w:t>16.5％，主要是预发部分考核奖</w:t>
      </w:r>
      <w:r>
        <w:rPr>
          <w:rFonts w:hint="default" w:ascii="Times New Roman" w:hAnsi="Times New Roman" w:eastAsia="仿宋_GB2312" w:cs="Times New Roman"/>
          <w:color w:val="auto"/>
          <w:sz w:val="32"/>
          <w:szCs w:val="32"/>
          <w:lang w:val="en-US" w:eastAsia="zh-CN"/>
        </w:rPr>
        <w:t>622万元等。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社会保障和就业支出</w:t>
      </w:r>
      <w:r>
        <w:rPr>
          <w:rFonts w:hint="default" w:ascii="Times New Roman" w:hAnsi="Times New Roman" w:eastAsia="仿宋_GB2312" w:cs="Times New Roman"/>
          <w:color w:val="auto"/>
          <w:sz w:val="32"/>
          <w:szCs w:val="32"/>
          <w:lang w:val="en-US" w:eastAsia="zh-CN"/>
        </w:rPr>
        <w:t>43277万元，完成年初预算数的</w:t>
      </w:r>
      <w:r>
        <w:rPr>
          <w:rFonts w:hint="default" w:ascii="Times New Roman" w:hAnsi="Times New Roman" w:eastAsia="仿宋_GB2312" w:cs="Times New Roman"/>
          <w:color w:val="auto"/>
          <w:sz w:val="32"/>
          <w:szCs w:val="32"/>
          <w:lang w:val="en-US" w:eastAsia="zh-CN"/>
        </w:rPr>
        <w:t>54.6%，下降</w:t>
      </w:r>
      <w:r>
        <w:rPr>
          <w:rFonts w:hint="default" w:ascii="Times New Roman" w:hAnsi="Times New Roman" w:eastAsia="仿宋_GB2312" w:cs="Times New Roman"/>
          <w:color w:val="auto"/>
          <w:sz w:val="32"/>
          <w:szCs w:val="32"/>
          <w:lang w:val="en-US" w:eastAsia="zh-CN"/>
        </w:rPr>
        <w:t>2.5%。</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卫生健康支出</w:t>
      </w:r>
      <w:r>
        <w:rPr>
          <w:rFonts w:hint="default" w:ascii="Times New Roman" w:hAnsi="Times New Roman" w:eastAsia="仿宋_GB2312" w:cs="Times New Roman"/>
          <w:color w:val="auto"/>
          <w:sz w:val="32"/>
          <w:szCs w:val="32"/>
          <w:lang w:val="en-US" w:eastAsia="zh-CN"/>
        </w:rPr>
        <w:t>39276万元，完成年初预算数的</w:t>
      </w:r>
      <w:r>
        <w:rPr>
          <w:rFonts w:hint="default" w:ascii="Times New Roman" w:hAnsi="Times New Roman" w:eastAsia="仿宋_GB2312" w:cs="Times New Roman"/>
          <w:color w:val="auto"/>
          <w:sz w:val="32"/>
          <w:szCs w:val="32"/>
          <w:lang w:val="en-US" w:eastAsia="zh-CN"/>
        </w:rPr>
        <w:t>68.3%，增长</w:t>
      </w:r>
      <w:r>
        <w:rPr>
          <w:rFonts w:hint="default" w:ascii="Times New Roman" w:hAnsi="Times New Roman" w:eastAsia="仿宋_GB2312" w:cs="Times New Roman"/>
          <w:color w:val="auto"/>
          <w:sz w:val="32"/>
          <w:szCs w:val="32"/>
          <w:lang w:val="en-US" w:eastAsia="zh-CN"/>
        </w:rPr>
        <w:t>28.2%，主要是拨付城乡居民医疗保险基金的补助</w:t>
      </w:r>
      <w:r>
        <w:rPr>
          <w:rFonts w:hint="default" w:ascii="Times New Roman" w:hAnsi="Times New Roman" w:eastAsia="仿宋_GB2312" w:cs="Times New Roman"/>
          <w:color w:val="auto"/>
          <w:sz w:val="32"/>
          <w:szCs w:val="32"/>
          <w:lang w:val="en-US" w:eastAsia="zh-CN"/>
        </w:rPr>
        <w:t>20569万元，较上年增支</w:t>
      </w:r>
      <w:r>
        <w:rPr>
          <w:rFonts w:hint="default" w:ascii="Times New Roman" w:hAnsi="Times New Roman" w:eastAsia="仿宋_GB2312" w:cs="Times New Roman"/>
          <w:color w:val="auto"/>
          <w:sz w:val="32"/>
          <w:szCs w:val="32"/>
          <w:lang w:val="en-US" w:eastAsia="zh-CN"/>
        </w:rPr>
        <w:t>10631万元等。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节能环保支出</w:t>
      </w:r>
      <w:r>
        <w:rPr>
          <w:rFonts w:hint="default" w:ascii="Times New Roman" w:hAnsi="Times New Roman" w:eastAsia="仿宋_GB2312" w:cs="Times New Roman"/>
          <w:color w:val="auto"/>
          <w:sz w:val="32"/>
          <w:szCs w:val="32"/>
          <w:lang w:val="en-US" w:eastAsia="zh-CN"/>
        </w:rPr>
        <w:t>12036万元，完成年初预算数的</w:t>
      </w:r>
      <w:r>
        <w:rPr>
          <w:rFonts w:hint="default" w:ascii="Times New Roman" w:hAnsi="Times New Roman" w:eastAsia="仿宋_GB2312" w:cs="Times New Roman"/>
          <w:color w:val="auto"/>
          <w:sz w:val="32"/>
          <w:szCs w:val="32"/>
          <w:lang w:val="en-US" w:eastAsia="zh-CN"/>
        </w:rPr>
        <w:t>111.9%，增长</w:t>
      </w:r>
      <w:r>
        <w:rPr>
          <w:rFonts w:hint="default" w:ascii="Times New Roman" w:hAnsi="Times New Roman" w:eastAsia="仿宋_GB2312" w:cs="Times New Roman"/>
          <w:color w:val="auto"/>
          <w:sz w:val="32"/>
          <w:szCs w:val="32"/>
          <w:lang w:val="en-US" w:eastAsia="zh-CN"/>
        </w:rPr>
        <w:t>44.6%，主要是拨付中央大气污染防治、水污染防治、土壤污染防治专项资金3595万元等。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城乡社区支出</w:t>
      </w:r>
      <w:r>
        <w:rPr>
          <w:rFonts w:hint="default" w:ascii="Times New Roman" w:hAnsi="Times New Roman" w:eastAsia="仿宋_GB2312" w:cs="Times New Roman"/>
          <w:color w:val="auto"/>
          <w:sz w:val="32"/>
          <w:szCs w:val="32"/>
          <w:lang w:val="en-US" w:eastAsia="zh-CN"/>
        </w:rPr>
        <w:t>10091万元，完成年初预算数的</w:t>
      </w:r>
      <w:r>
        <w:rPr>
          <w:rFonts w:hint="default" w:ascii="Times New Roman" w:hAnsi="Times New Roman" w:eastAsia="仿宋_GB2312" w:cs="Times New Roman"/>
          <w:color w:val="auto"/>
          <w:sz w:val="32"/>
          <w:szCs w:val="32"/>
          <w:lang w:val="en-US" w:eastAsia="zh-CN"/>
        </w:rPr>
        <w:t>45.7%，下降</w:t>
      </w:r>
      <w:r>
        <w:rPr>
          <w:rFonts w:hint="default" w:ascii="Times New Roman" w:hAnsi="Times New Roman" w:eastAsia="仿宋_GB2312" w:cs="Times New Roman"/>
          <w:color w:val="auto"/>
          <w:sz w:val="32"/>
          <w:szCs w:val="32"/>
          <w:lang w:val="en-US" w:eastAsia="zh-CN"/>
        </w:rPr>
        <w:t>35.4%，主要是上年同期拨付国有金融资本管理经费8000万元等。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农林水支出</w:t>
      </w:r>
      <w:r>
        <w:rPr>
          <w:rFonts w:hint="default" w:ascii="Times New Roman" w:hAnsi="Times New Roman" w:eastAsia="仿宋_GB2312" w:cs="Times New Roman"/>
          <w:color w:val="auto"/>
          <w:sz w:val="32"/>
          <w:szCs w:val="32"/>
          <w:lang w:val="en-US" w:eastAsia="zh-CN"/>
        </w:rPr>
        <w:t>51468万元，完成年初预算数的</w:t>
      </w:r>
      <w:r>
        <w:rPr>
          <w:rFonts w:hint="default" w:ascii="Times New Roman" w:hAnsi="Times New Roman" w:eastAsia="仿宋_GB2312" w:cs="Times New Roman"/>
          <w:color w:val="auto"/>
          <w:sz w:val="32"/>
          <w:szCs w:val="32"/>
          <w:lang w:val="en-US" w:eastAsia="zh-CN"/>
        </w:rPr>
        <w:t>78.2%，增长</w:t>
      </w:r>
      <w:r>
        <w:rPr>
          <w:rFonts w:hint="default" w:ascii="Times New Roman" w:hAnsi="Times New Roman" w:eastAsia="仿宋_GB2312" w:cs="Times New Roman"/>
          <w:color w:val="auto"/>
          <w:sz w:val="32"/>
          <w:szCs w:val="32"/>
          <w:lang w:val="en-US" w:eastAsia="zh-CN"/>
        </w:rPr>
        <w:t>21.9%，主要是</w:t>
      </w:r>
      <w:r>
        <w:rPr>
          <w:rFonts w:hint="default" w:ascii="Times New Roman" w:hAnsi="Times New Roman" w:eastAsia="仿宋_GB2312" w:cs="Times New Roman"/>
          <w:color w:val="auto"/>
          <w:sz w:val="32"/>
          <w:szCs w:val="32"/>
          <w:lang w:val="en-US" w:eastAsia="zh-CN"/>
        </w:rPr>
        <w:t>拨付新时代美丽乡村建设工程7000万元，“大三农”统筹资金2000万元等。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交通运输支出</w:t>
      </w:r>
      <w:r>
        <w:rPr>
          <w:rFonts w:hint="default" w:ascii="Times New Roman" w:hAnsi="Times New Roman" w:eastAsia="仿宋_GB2312" w:cs="Times New Roman"/>
          <w:color w:val="auto"/>
          <w:sz w:val="32"/>
          <w:szCs w:val="32"/>
          <w:lang w:val="en-US" w:eastAsia="zh-CN"/>
        </w:rPr>
        <w:t>63495万元，完成年初预算数的</w:t>
      </w:r>
      <w:r>
        <w:rPr>
          <w:rFonts w:hint="default" w:ascii="Times New Roman" w:hAnsi="Times New Roman" w:eastAsia="仿宋_GB2312" w:cs="Times New Roman"/>
          <w:color w:val="auto"/>
          <w:sz w:val="32"/>
          <w:szCs w:val="32"/>
          <w:lang w:val="en-US" w:eastAsia="zh-CN"/>
        </w:rPr>
        <w:t>103.4%，增长</w:t>
      </w:r>
      <w:r>
        <w:rPr>
          <w:rFonts w:hint="default" w:ascii="Times New Roman" w:hAnsi="Times New Roman" w:eastAsia="仿宋_GB2312" w:cs="Times New Roman"/>
          <w:color w:val="auto"/>
          <w:sz w:val="32"/>
          <w:szCs w:val="32"/>
          <w:lang w:val="en-US" w:eastAsia="zh-CN"/>
        </w:rPr>
        <w:t>84.5%，主要是拨付美丽常山文明细胞建设-美丽通道（含四好农村路）项目25000万元等。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资源勘探工业信息等支出</w:t>
      </w:r>
      <w:r>
        <w:rPr>
          <w:rFonts w:hint="default" w:ascii="Times New Roman" w:hAnsi="Times New Roman" w:eastAsia="仿宋_GB2312" w:cs="Times New Roman"/>
          <w:color w:val="auto"/>
          <w:sz w:val="32"/>
          <w:szCs w:val="32"/>
          <w:lang w:val="en-US" w:eastAsia="zh-CN"/>
        </w:rPr>
        <w:t>2843万元，完成年初预算数的</w:t>
      </w:r>
      <w:r>
        <w:rPr>
          <w:rFonts w:hint="default" w:ascii="Times New Roman" w:hAnsi="Times New Roman" w:eastAsia="仿宋_GB2312" w:cs="Times New Roman"/>
          <w:color w:val="auto"/>
          <w:sz w:val="32"/>
          <w:szCs w:val="32"/>
          <w:lang w:val="en-US" w:eastAsia="zh-CN"/>
        </w:rPr>
        <w:t>95.1%，增长</w:t>
      </w:r>
      <w:r>
        <w:rPr>
          <w:rFonts w:hint="default" w:ascii="Times New Roman" w:hAnsi="Times New Roman" w:eastAsia="仿宋_GB2312" w:cs="Times New Roman"/>
          <w:color w:val="auto"/>
          <w:sz w:val="32"/>
          <w:szCs w:val="32"/>
          <w:lang w:val="en-US" w:eastAsia="zh-CN"/>
        </w:rPr>
        <w:t>23.9%，主要是拨付省级工业与信息化发展财政专项补助资金</w:t>
      </w:r>
      <w:r>
        <w:rPr>
          <w:rFonts w:hint="default" w:ascii="Times New Roman" w:hAnsi="Times New Roman" w:eastAsia="仿宋_GB2312" w:cs="Times New Roman"/>
          <w:color w:val="auto"/>
          <w:sz w:val="32"/>
          <w:szCs w:val="32"/>
          <w:lang w:val="en-US" w:eastAsia="zh-CN"/>
        </w:rPr>
        <w:t>1007万元等。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商业服务业等支出</w:t>
      </w:r>
      <w:r>
        <w:rPr>
          <w:rFonts w:hint="default" w:ascii="Times New Roman" w:hAnsi="Times New Roman" w:eastAsia="仿宋_GB2312" w:cs="Times New Roman"/>
          <w:color w:val="auto"/>
          <w:sz w:val="32"/>
          <w:szCs w:val="32"/>
          <w:lang w:val="en-US" w:eastAsia="zh-CN"/>
        </w:rPr>
        <w:t>1305万元，完成年初预算数的</w:t>
      </w:r>
      <w:r>
        <w:rPr>
          <w:rFonts w:hint="default" w:ascii="Times New Roman" w:hAnsi="Times New Roman" w:eastAsia="仿宋_GB2312" w:cs="Times New Roman"/>
          <w:color w:val="auto"/>
          <w:sz w:val="32"/>
          <w:szCs w:val="32"/>
          <w:lang w:val="en-US" w:eastAsia="zh-CN"/>
        </w:rPr>
        <w:t>36.4%，下降</w:t>
      </w:r>
      <w:r>
        <w:rPr>
          <w:rFonts w:hint="default" w:ascii="Times New Roman" w:hAnsi="Times New Roman" w:eastAsia="仿宋_GB2312" w:cs="Times New Roman"/>
          <w:color w:val="auto"/>
          <w:sz w:val="32"/>
          <w:szCs w:val="32"/>
          <w:lang w:val="en-US" w:eastAsia="zh-CN"/>
        </w:rPr>
        <w:t>56.6%，主要是上年同期拨付“四好衢州、放心消费”活动专项资金</w:t>
      </w:r>
      <w:r>
        <w:rPr>
          <w:rFonts w:hint="default" w:ascii="Times New Roman" w:hAnsi="Times New Roman" w:eastAsia="仿宋_GB2312" w:cs="Times New Roman"/>
          <w:color w:val="auto"/>
          <w:sz w:val="32"/>
          <w:szCs w:val="32"/>
          <w:lang w:val="en-US" w:eastAsia="zh-CN"/>
        </w:rPr>
        <w:t>1000万元等。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lang w:val="en-US" w:eastAsia="zh-CN"/>
        </w:rPr>
        <w:t>金融支出</w:t>
      </w:r>
      <w:r>
        <w:rPr>
          <w:rFonts w:hint="default" w:ascii="Times New Roman" w:hAnsi="Times New Roman" w:eastAsia="仿宋_GB2312" w:cs="Times New Roman"/>
          <w:color w:val="auto"/>
          <w:sz w:val="32"/>
          <w:szCs w:val="32"/>
          <w:lang w:val="en-US" w:eastAsia="zh-CN"/>
        </w:rPr>
        <w:t>651万元，完成年初预算数的</w:t>
      </w:r>
      <w:r>
        <w:rPr>
          <w:rFonts w:hint="default" w:ascii="Times New Roman" w:hAnsi="Times New Roman" w:eastAsia="仿宋_GB2312" w:cs="Times New Roman"/>
          <w:color w:val="auto"/>
          <w:sz w:val="32"/>
          <w:szCs w:val="32"/>
          <w:lang w:val="en-US" w:eastAsia="zh-CN"/>
        </w:rPr>
        <w:t>180.3%，增长2070.0%，主要是拨付金融服务业发展引导专项资金600万元。</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val="en-US" w:eastAsia="zh-CN"/>
        </w:rPr>
        <w:t>自然资源海洋气象等支出</w:t>
      </w:r>
      <w:r>
        <w:rPr>
          <w:rFonts w:hint="default" w:ascii="Times New Roman" w:hAnsi="Times New Roman" w:eastAsia="仿宋_GB2312" w:cs="Times New Roman"/>
          <w:color w:val="auto"/>
          <w:sz w:val="32"/>
          <w:szCs w:val="32"/>
          <w:lang w:val="en-US" w:eastAsia="zh-CN"/>
        </w:rPr>
        <w:t>9043万元，完成年初预算数的</w:t>
      </w:r>
      <w:r>
        <w:rPr>
          <w:rFonts w:hint="default" w:ascii="Times New Roman" w:hAnsi="Times New Roman" w:eastAsia="仿宋_GB2312" w:cs="Times New Roman"/>
          <w:color w:val="auto"/>
          <w:sz w:val="32"/>
          <w:szCs w:val="32"/>
          <w:lang w:val="en-US" w:eastAsia="zh-CN"/>
        </w:rPr>
        <w:t>44.2%，下降</w:t>
      </w:r>
      <w:r>
        <w:rPr>
          <w:rFonts w:hint="default" w:ascii="Times New Roman" w:hAnsi="Times New Roman" w:eastAsia="仿宋_GB2312" w:cs="Times New Roman"/>
          <w:color w:val="auto"/>
          <w:sz w:val="32"/>
          <w:szCs w:val="32"/>
          <w:lang w:val="en-US" w:eastAsia="zh-CN"/>
        </w:rPr>
        <w:t>5.0%。</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lang w:val="en-US" w:eastAsia="zh-CN"/>
        </w:rPr>
        <w:t>住房保障支出</w:t>
      </w:r>
      <w:r>
        <w:rPr>
          <w:rFonts w:hint="default" w:ascii="Times New Roman" w:hAnsi="Times New Roman" w:eastAsia="仿宋_GB2312" w:cs="Times New Roman"/>
          <w:color w:val="auto"/>
          <w:sz w:val="32"/>
          <w:szCs w:val="32"/>
          <w:lang w:val="en-US" w:eastAsia="zh-CN"/>
        </w:rPr>
        <w:t>7998万元，完成年初预算数的55.2%，增长948.2%，主要是拨付常山县危房改造项目7462万元等。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lang w:val="en-US" w:eastAsia="zh-CN"/>
        </w:rPr>
        <w:t>粮油物资储备支出1004万元，完成年初预算数的50.4%，下降43.0%，主要是拨付粮食风险基金900万元，较上年减支800万元等。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val="en-US" w:eastAsia="zh-CN"/>
        </w:rPr>
        <w:t>灾害防治及应急管理支出</w:t>
      </w:r>
      <w:r>
        <w:rPr>
          <w:rFonts w:hint="default" w:ascii="Times New Roman" w:hAnsi="Times New Roman" w:eastAsia="仿宋_GB2312" w:cs="Times New Roman"/>
          <w:color w:val="auto"/>
          <w:sz w:val="32"/>
          <w:szCs w:val="32"/>
          <w:lang w:val="en-US" w:eastAsia="zh-CN"/>
        </w:rPr>
        <w:t>1115万元，完成年初预算数的</w:t>
      </w:r>
      <w:r>
        <w:rPr>
          <w:rFonts w:hint="default" w:ascii="Times New Roman" w:hAnsi="Times New Roman" w:eastAsia="仿宋_GB2312" w:cs="Times New Roman"/>
          <w:color w:val="auto"/>
          <w:sz w:val="32"/>
          <w:szCs w:val="32"/>
          <w:lang w:val="en-US" w:eastAsia="zh-CN"/>
        </w:rPr>
        <w:t>48.8%，下降</w:t>
      </w:r>
      <w:r>
        <w:rPr>
          <w:rFonts w:hint="default" w:ascii="Times New Roman" w:hAnsi="Times New Roman" w:eastAsia="仿宋_GB2312" w:cs="Times New Roman"/>
          <w:color w:val="auto"/>
          <w:sz w:val="32"/>
          <w:szCs w:val="32"/>
          <w:lang w:val="en-US" w:eastAsia="zh-CN"/>
        </w:rPr>
        <w:t>7.7%，主要是上年同期拨付地质灾害搬迁资金243万元等。</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val="en-US" w:eastAsia="zh-CN"/>
        </w:rPr>
        <w:t>债券付息及发行费用支出</w:t>
      </w:r>
      <w:r>
        <w:rPr>
          <w:rFonts w:hint="default" w:ascii="Times New Roman" w:hAnsi="Times New Roman" w:eastAsia="仿宋_GB2312" w:cs="Times New Roman"/>
          <w:color w:val="auto"/>
          <w:sz w:val="32"/>
          <w:szCs w:val="32"/>
          <w:lang w:val="en-US" w:eastAsia="zh-CN"/>
        </w:rPr>
        <w:t>6290万元，完成年初预算数的45.7%，增长11.1%。</w:t>
      </w:r>
    </w:p>
    <w:p>
      <w:pPr>
        <w:numPr>
          <w:ilvl w:val="0"/>
          <w:numId w:val="2"/>
        </w:numPr>
        <w:spacing w:line="55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2021年1-6月</w:t>
      </w:r>
      <w:r>
        <w:rPr>
          <w:rFonts w:hint="default" w:ascii="Times New Roman" w:hAnsi="Times New Roman" w:eastAsia="黑体" w:cs="Times New Roman"/>
          <w:color w:val="auto"/>
          <w:sz w:val="32"/>
          <w:szCs w:val="32"/>
        </w:rPr>
        <w:t>政府性基金收支情况</w:t>
      </w:r>
    </w:p>
    <w:p>
      <w:pPr>
        <w:suppressAutoHyphens/>
        <w:topLinePunct w:val="0"/>
        <w:autoSpaceDN w:val="0"/>
        <w:spacing w:line="550" w:lineRule="exact"/>
        <w:ind w:firstLine="643" w:firstLineChars="200"/>
        <w:rPr>
          <w:rFonts w:hint="default" w:ascii="Times New Roman" w:hAnsi="Times New Roman" w:cs="Times New Roman"/>
          <w:color w:val="auto"/>
          <w:sz w:val="32"/>
          <w:szCs w:val="32"/>
        </w:rPr>
      </w:pPr>
      <w:r>
        <w:rPr>
          <w:rFonts w:hint="default" w:ascii="Times New Roman" w:hAnsi="Times New Roman" w:eastAsia="楷体_GB2312" w:cs="Times New Roman"/>
          <w:b/>
          <w:bCs w:val="0"/>
          <w:color w:val="auto"/>
          <w:sz w:val="32"/>
          <w:szCs w:val="32"/>
          <w:highlight w:val="none"/>
        </w:rPr>
        <w:t>（一）收入</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bCs w:val="0"/>
          <w:color w:val="auto"/>
          <w:sz w:val="32"/>
          <w:szCs w:val="32"/>
          <w:highlight w:val="none"/>
        </w:rPr>
        <w:t>情况</w:t>
      </w:r>
    </w:p>
    <w:p>
      <w:p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1-6月，全县政府性基金收入185552万元，完成年初预算数的76.4%，增长18.1%。</w:t>
      </w:r>
    </w:p>
    <w:p>
      <w:pPr>
        <w:suppressAutoHyphens/>
        <w:topLinePunct/>
        <w:spacing w:line="576"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收入分项目完成情况如下：</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国有土</w:t>
      </w:r>
      <w:r>
        <w:rPr>
          <w:rFonts w:hint="default" w:ascii="Times New Roman" w:hAnsi="Times New Roman" w:eastAsia="仿宋_GB2312" w:cs="Times New Roman"/>
          <w:color w:val="auto"/>
          <w:sz w:val="32"/>
          <w:szCs w:val="32"/>
          <w:lang w:val="en-US" w:eastAsia="zh-CN"/>
        </w:rPr>
        <w:t>地收益基金收入</w:t>
      </w:r>
      <w:r>
        <w:rPr>
          <w:rFonts w:hint="default" w:ascii="Times New Roman" w:hAnsi="Times New Roman" w:eastAsia="仿宋_GB2312" w:cs="Times New Roman"/>
          <w:color w:val="auto"/>
          <w:sz w:val="32"/>
          <w:szCs w:val="32"/>
          <w:lang w:val="en-US" w:eastAsia="zh-CN"/>
        </w:rPr>
        <w:t>2924万元，完成年初预算数的</w:t>
      </w:r>
      <w:r>
        <w:rPr>
          <w:rFonts w:hint="default" w:ascii="Times New Roman" w:hAnsi="Times New Roman" w:eastAsia="仿宋_GB2312" w:cs="Times New Roman"/>
          <w:color w:val="auto"/>
          <w:sz w:val="32"/>
          <w:szCs w:val="32"/>
          <w:lang w:val="en-US" w:eastAsia="zh-CN"/>
        </w:rPr>
        <w:t>85.3%，增长</w:t>
      </w:r>
      <w:r>
        <w:rPr>
          <w:rFonts w:hint="default" w:ascii="Times New Roman" w:hAnsi="Times New Roman" w:eastAsia="仿宋_GB2312" w:cs="Times New Roman"/>
          <w:color w:val="auto"/>
          <w:sz w:val="32"/>
          <w:szCs w:val="32"/>
          <w:lang w:val="en-US" w:eastAsia="zh-CN"/>
        </w:rPr>
        <w:t>578.4%，主要是国有土地收益基金收入按国有土地使用权出让价款总额3%计提，上半年国有土地使用权出让收入增长较多，相应上半年国有土地收益基金收入增长。</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农业土地开发资金收入</w:t>
      </w:r>
      <w:r>
        <w:rPr>
          <w:rFonts w:hint="default" w:ascii="Times New Roman" w:hAnsi="Times New Roman" w:eastAsia="仿宋_GB2312" w:cs="Times New Roman"/>
          <w:color w:val="auto"/>
          <w:sz w:val="32"/>
          <w:szCs w:val="32"/>
          <w:lang w:val="en-US" w:eastAsia="zh-CN"/>
        </w:rPr>
        <w:t>142万元，完成年初预算数的</w:t>
      </w:r>
      <w:r>
        <w:rPr>
          <w:rFonts w:hint="default" w:ascii="Times New Roman" w:hAnsi="Times New Roman" w:eastAsia="仿宋_GB2312" w:cs="Times New Roman"/>
          <w:color w:val="auto"/>
          <w:sz w:val="32"/>
          <w:szCs w:val="32"/>
          <w:lang w:val="en-US" w:eastAsia="zh-CN"/>
        </w:rPr>
        <w:t>64.5%，增长</w:t>
      </w:r>
      <w:r>
        <w:rPr>
          <w:rFonts w:hint="default" w:ascii="Times New Roman" w:hAnsi="Times New Roman" w:eastAsia="仿宋_GB2312" w:cs="Times New Roman"/>
          <w:color w:val="auto"/>
          <w:sz w:val="32"/>
          <w:szCs w:val="32"/>
          <w:lang w:val="en-US" w:eastAsia="zh-CN"/>
        </w:rPr>
        <w:t>86.8%，主要是农业土地开发资金收入以土地出让面积计提，上半年土地出让面积较上年增长，相应上半年农业土地开发资金收入增加。</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国有土地使用权出让收入</w:t>
      </w:r>
      <w:r>
        <w:rPr>
          <w:rFonts w:hint="default" w:ascii="Times New Roman" w:hAnsi="Times New Roman" w:eastAsia="仿宋_GB2312" w:cs="Times New Roman"/>
          <w:color w:val="auto"/>
          <w:sz w:val="32"/>
          <w:szCs w:val="32"/>
          <w:lang w:val="en-US" w:eastAsia="zh-CN"/>
        </w:rPr>
        <w:t>150218万元，完成年初预算数的</w:t>
      </w:r>
      <w:r>
        <w:rPr>
          <w:rFonts w:hint="default" w:ascii="Times New Roman" w:hAnsi="Times New Roman" w:eastAsia="仿宋_GB2312" w:cs="Times New Roman"/>
          <w:color w:val="auto"/>
          <w:sz w:val="32"/>
          <w:szCs w:val="32"/>
          <w:lang w:val="en-US" w:eastAsia="zh-CN"/>
        </w:rPr>
        <w:t>128.7%，增长</w:t>
      </w:r>
      <w:r>
        <w:rPr>
          <w:rFonts w:hint="default" w:ascii="Times New Roman" w:hAnsi="Times New Roman" w:eastAsia="仿宋_GB2312" w:cs="Times New Roman"/>
          <w:color w:val="auto"/>
          <w:sz w:val="32"/>
          <w:szCs w:val="32"/>
          <w:lang w:val="en-US" w:eastAsia="zh-CN"/>
        </w:rPr>
        <w:t>59.6%，主要是出让城东新区漫悦湾东侧地块收入7.3亿元及出让赵家坪罗汉山地块收入4.</w:t>
      </w:r>
      <w:r>
        <w:rPr>
          <w:rFonts w:hint="default" w:ascii="Times New Roman" w:hAnsi="Times New Roman" w:eastAsia="仿宋_GB2312" w:cs="Times New Roman"/>
          <w:color w:val="auto"/>
          <w:sz w:val="32"/>
          <w:szCs w:val="32"/>
          <w:lang w:val="en-US" w:eastAsia="zh-CN"/>
        </w:rPr>
        <w:t>3亿元。</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彩票公益金收入</w:t>
      </w:r>
      <w:r>
        <w:rPr>
          <w:rFonts w:hint="default" w:ascii="Times New Roman" w:hAnsi="Times New Roman" w:eastAsia="仿宋_GB2312" w:cs="Times New Roman"/>
          <w:color w:val="auto"/>
          <w:sz w:val="32"/>
          <w:szCs w:val="32"/>
          <w:lang w:val="en-US" w:eastAsia="zh-CN"/>
        </w:rPr>
        <w:t>107万元，完成年初预算数的</w:t>
      </w:r>
      <w:r>
        <w:rPr>
          <w:rFonts w:hint="default" w:ascii="Times New Roman" w:hAnsi="Times New Roman" w:eastAsia="仿宋_GB2312" w:cs="Times New Roman"/>
          <w:color w:val="auto"/>
          <w:sz w:val="32"/>
          <w:szCs w:val="32"/>
          <w:lang w:val="en-US" w:eastAsia="zh-CN"/>
        </w:rPr>
        <w:t>47.6%，下降</w:t>
      </w:r>
      <w:r>
        <w:rPr>
          <w:rFonts w:hint="default" w:ascii="Times New Roman" w:hAnsi="Times New Roman" w:eastAsia="仿宋_GB2312" w:cs="Times New Roman"/>
          <w:color w:val="auto"/>
          <w:sz w:val="32"/>
          <w:szCs w:val="32"/>
          <w:lang w:val="en-US" w:eastAsia="zh-CN"/>
        </w:rPr>
        <w:t>22.5%，主要是常山县福利彩票销售中心于2020年注销。</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城市基础设施配套费收入</w:t>
      </w:r>
      <w:r>
        <w:rPr>
          <w:rFonts w:hint="default" w:ascii="Times New Roman" w:hAnsi="Times New Roman" w:eastAsia="仿宋_GB2312" w:cs="Times New Roman"/>
          <w:color w:val="auto"/>
          <w:sz w:val="32"/>
          <w:szCs w:val="32"/>
          <w:lang w:val="en-US" w:eastAsia="zh-CN"/>
        </w:rPr>
        <w:t>1331万元，完成年初预算数的</w:t>
      </w:r>
      <w:r>
        <w:rPr>
          <w:rFonts w:hint="default" w:ascii="Times New Roman" w:hAnsi="Times New Roman" w:eastAsia="仿宋_GB2312" w:cs="Times New Roman"/>
          <w:color w:val="auto"/>
          <w:sz w:val="32"/>
          <w:szCs w:val="32"/>
          <w:lang w:val="en-US" w:eastAsia="zh-CN"/>
        </w:rPr>
        <w:t>125.6%，下降</w:t>
      </w:r>
      <w:r>
        <w:rPr>
          <w:rFonts w:hint="default" w:ascii="Times New Roman" w:hAnsi="Times New Roman" w:eastAsia="仿宋_GB2312" w:cs="Times New Roman"/>
          <w:color w:val="auto"/>
          <w:sz w:val="32"/>
          <w:szCs w:val="32"/>
          <w:lang w:val="en-US" w:eastAsia="zh-CN"/>
        </w:rPr>
        <w:t>15.2%</w:t>
      </w:r>
      <w:r>
        <w:rPr>
          <w:rFonts w:hint="default" w:ascii="Times New Roman" w:hAnsi="Times New Roman" w:eastAsia="仿宋_GB2312" w:cs="Times New Roman"/>
          <w:color w:val="auto"/>
          <w:sz w:val="32"/>
          <w:szCs w:val="32"/>
          <w:lang w:val="en-US" w:eastAsia="zh-CN"/>
        </w:rPr>
        <w:t>，主要是上半年房地产开发项目较上年同期减少，相应城市基础设施配套费收入下降。</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污水处理费收入830万元，完成年初预算数的69.2%，增长29.7%。</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其他政府性基金收入30000万元，完成年初预算数的25.0%，下降50.1%，主要是上半年土地折抵指标款收入减少。</w:t>
      </w:r>
    </w:p>
    <w:p>
      <w:pPr>
        <w:suppressAutoHyphens/>
        <w:topLinePunct w:val="0"/>
        <w:autoSpaceDN w:val="0"/>
        <w:spacing w:line="550" w:lineRule="exact"/>
        <w:ind w:firstLine="643" w:firstLineChars="200"/>
        <w:rPr>
          <w:rFonts w:hint="default" w:ascii="Times New Roman" w:hAnsi="Times New Roman" w:cs="Times New Roman"/>
          <w:color w:val="auto"/>
          <w:sz w:val="32"/>
          <w:szCs w:val="32"/>
          <w:lang w:val="en-US" w:eastAsia="zh-CN"/>
        </w:rPr>
      </w:pPr>
      <w:r>
        <w:rPr>
          <w:rFonts w:hint="default" w:ascii="Times New Roman" w:hAnsi="Times New Roman" w:eastAsia="楷体_GB2312" w:cs="Times New Roman"/>
          <w:b/>
          <w:bCs w:val="0"/>
          <w:color w:val="auto"/>
          <w:sz w:val="32"/>
          <w:szCs w:val="32"/>
          <w:highlight w:val="none"/>
        </w:rPr>
        <w:t>（二）支出</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bCs w:val="0"/>
          <w:color w:val="auto"/>
          <w:sz w:val="32"/>
          <w:szCs w:val="32"/>
          <w:highlight w:val="none"/>
        </w:rPr>
        <w:t>情况</w:t>
      </w:r>
    </w:p>
    <w:p>
      <w:p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1-6月，全县政府性基金支出185981万元，完成年初预算数的89.9%，增长25.0％。</w:t>
      </w:r>
    </w:p>
    <w:p>
      <w:pPr>
        <w:suppressAutoHyphens/>
        <w:topLinePunct/>
        <w:spacing w:line="576" w:lineRule="exact"/>
        <w:ind w:firstLine="640" w:firstLineChars="200"/>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bCs/>
          <w:color w:val="auto"/>
          <w:sz w:val="32"/>
          <w:szCs w:val="32"/>
          <w:highlight w:val="none"/>
        </w:rPr>
        <w:t>支出分项目完成情况如下：</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大中型水库移民后期扶持基金支出772万元，完成年初预算数的45.1%，下降58.0%，主要是上半年大中型水库移民后期扶持基金上级补助收入减少，相应安排的支出减少。</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国有土地使用权出让收入安排的支出127190万元，完成年初预算数的150.5%，增长48.7%，主要是该项为以收定支项目，上半年国有土地使用权出让收入较上年增加，相应安排的支出增加。</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污水处理费安排的支出626万元，完成年初预算数的52.2%，下降1.9%。</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彩票公益金安排的支出766万元，完成年初预算数的38.3%，下降7.2%，主要是该项为以收定支项目，上半年彩票公益金收入减少，相应安排的支出减少。</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其他政府性基金支出51316万元，完成年初预算数的48.3%，下降8.8%，主要是该项为以收定支项目，上半年其他政府性基金收入（主要是土地折抵指标款收入）减少，相应安排的支出减少。</w:t>
      </w:r>
    </w:p>
    <w:p>
      <w:pPr>
        <w:numPr>
          <w:ilvl w:val="0"/>
          <w:numId w:val="0"/>
        </w:numPr>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债务付息和发行费用支出5311万元，完成年初预算数的50.8%，增长88.6%。</w:t>
      </w:r>
    </w:p>
    <w:p>
      <w:pPr>
        <w:numPr>
          <w:ilvl w:val="0"/>
          <w:numId w:val="3"/>
        </w:numPr>
        <w:spacing w:line="550" w:lineRule="exact"/>
        <w:ind w:firstLine="640" w:firstLineChars="2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2021年1-6月</w:t>
      </w:r>
      <w:r>
        <w:rPr>
          <w:rFonts w:hint="default" w:ascii="Times New Roman" w:hAnsi="Times New Roman" w:eastAsia="黑体" w:cs="Times New Roman"/>
          <w:color w:val="auto"/>
          <w:sz w:val="32"/>
          <w:szCs w:val="32"/>
          <w:lang w:eastAsia="zh-CN"/>
        </w:rPr>
        <w:t>社会保险基金收支情况</w:t>
      </w:r>
    </w:p>
    <w:p>
      <w:pPr>
        <w:suppressAutoHyphens/>
        <w:topLinePunct w:val="0"/>
        <w:autoSpaceDN w:val="0"/>
        <w:spacing w:line="550" w:lineRule="exact"/>
        <w:ind w:firstLine="643" w:firstLineChars="200"/>
        <w:rPr>
          <w:rFonts w:hint="default" w:ascii="Times New Roman" w:hAnsi="Times New Roman" w:cs="Times New Roman"/>
          <w:color w:val="auto"/>
          <w:sz w:val="32"/>
          <w:szCs w:val="32"/>
          <w:lang w:eastAsia="zh-CN"/>
        </w:rPr>
      </w:pPr>
      <w:r>
        <w:rPr>
          <w:rFonts w:hint="default" w:ascii="Times New Roman" w:hAnsi="Times New Roman" w:eastAsia="楷体_GB2312" w:cs="Times New Roman"/>
          <w:b/>
          <w:bCs w:val="0"/>
          <w:color w:val="auto"/>
          <w:sz w:val="32"/>
          <w:szCs w:val="32"/>
          <w:highlight w:val="none"/>
        </w:rPr>
        <w:t>（一）收入</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bCs w:val="0"/>
          <w:color w:val="auto"/>
          <w:sz w:val="32"/>
          <w:szCs w:val="32"/>
          <w:highlight w:val="none"/>
        </w:rPr>
        <w:t>情况</w:t>
      </w:r>
    </w:p>
    <w:p>
      <w:pPr>
        <w:pStyle w:val="18"/>
        <w:spacing w:line="550" w:lineRule="exact"/>
        <w:ind w:firstLine="6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w:t>
      </w:r>
      <w:r>
        <w:rPr>
          <w:rFonts w:hint="default"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rPr>
        <w:t>县社保基金收入</w:t>
      </w:r>
      <w:r>
        <w:rPr>
          <w:rFonts w:hint="default" w:ascii="Times New Roman" w:hAnsi="Times New Roman" w:eastAsia="仿宋_GB2312" w:cs="Times New Roman"/>
          <w:color w:val="auto"/>
          <w:sz w:val="32"/>
          <w:szCs w:val="32"/>
          <w:lang w:val="en-US" w:eastAsia="zh-CN"/>
        </w:rPr>
        <w:t>68755</w:t>
      </w:r>
      <w:r>
        <w:rPr>
          <w:rFonts w:hint="default" w:ascii="Times New Roman" w:hAnsi="Times New Roman" w:eastAsia="仿宋_GB2312" w:cs="Times New Roman"/>
          <w:color w:val="auto"/>
          <w:sz w:val="32"/>
          <w:szCs w:val="32"/>
        </w:rPr>
        <w:t>万元，完成</w:t>
      </w:r>
      <w:r>
        <w:rPr>
          <w:rFonts w:hint="default" w:ascii="Times New Roman" w:hAnsi="Times New Roman" w:eastAsia="仿宋_GB2312" w:cs="Times New Roman"/>
          <w:color w:val="auto"/>
          <w:sz w:val="32"/>
          <w:szCs w:val="32"/>
          <w:lang w:eastAsia="zh-CN"/>
        </w:rPr>
        <w:t>年初</w:t>
      </w:r>
      <w:r>
        <w:rPr>
          <w:rFonts w:hint="default" w:ascii="Times New Roman" w:hAnsi="Times New Roman" w:eastAsia="仿宋_GB2312" w:cs="Times New Roman"/>
          <w:color w:val="auto"/>
          <w:sz w:val="32"/>
          <w:szCs w:val="32"/>
        </w:rPr>
        <w:t>预算数的</w:t>
      </w:r>
      <w:r>
        <w:rPr>
          <w:rFonts w:hint="default" w:ascii="Times New Roman" w:hAnsi="Times New Roman" w:eastAsia="仿宋_GB2312" w:cs="Times New Roman"/>
          <w:color w:val="auto"/>
          <w:sz w:val="32"/>
          <w:szCs w:val="32"/>
          <w:lang w:val="en-US" w:eastAsia="zh-CN"/>
        </w:rPr>
        <w:t>59.0</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36.1</w:t>
      </w:r>
      <w:r>
        <w:rPr>
          <w:rFonts w:hint="default" w:ascii="Times New Roman" w:hAnsi="Times New Roman" w:eastAsia="仿宋_GB2312" w:cs="Times New Roman"/>
          <w:color w:val="auto"/>
          <w:sz w:val="32"/>
          <w:szCs w:val="32"/>
        </w:rPr>
        <w:t>%。</w:t>
      </w:r>
    </w:p>
    <w:p>
      <w:pPr>
        <w:suppressAutoHyphens/>
        <w:topLinePunct/>
        <w:spacing w:line="576" w:lineRule="exact"/>
        <w:ind w:firstLine="640" w:firstLineChars="200"/>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收入分项目完成情况如下：</w:t>
      </w:r>
    </w:p>
    <w:p>
      <w:pPr>
        <w:pStyle w:val="18"/>
        <w:numPr>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失业</w:t>
      </w:r>
      <w:r>
        <w:rPr>
          <w:rFonts w:hint="default" w:ascii="Times New Roman" w:hAnsi="Times New Roman" w:eastAsia="仿宋_GB2312" w:cs="Times New Roman"/>
          <w:color w:val="auto"/>
          <w:kern w:val="2"/>
          <w:sz w:val="32"/>
          <w:szCs w:val="32"/>
          <w:lang w:val="en-US" w:eastAsia="zh-CN" w:bidi="ar-SA"/>
        </w:rPr>
        <w:t>保险基金收入946万元，完成年初预算数的39.7%，下降66.9%，主要是2020年有上级补助资金2130万元，2021年上级补助较少</w:t>
      </w:r>
      <w:r>
        <w:rPr>
          <w:rFonts w:hint="eastAsia" w:ascii="Times New Roman" w:hAnsi="Times New Roman" w:eastAsia="仿宋_GB2312" w:cs="Times New Roman"/>
          <w:color w:val="auto"/>
          <w:kern w:val="2"/>
          <w:sz w:val="32"/>
          <w:szCs w:val="32"/>
          <w:lang w:val="en-US" w:eastAsia="zh-CN" w:bidi="ar-SA"/>
        </w:rPr>
        <w:t>。</w:t>
      </w:r>
    </w:p>
    <w:p>
      <w:pPr>
        <w:pStyle w:val="18"/>
        <w:numPr>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城镇职工基本医疗保险基金收入15803万元，完成年初预算数的58.2%，增长28.3%，主要原因是：一是政策变动，费率提高；二是2020年受新冠疫情影响，对企业2月至6月基本医疗保险单位缴费部分减半征收，而2021年是正常征收</w:t>
      </w:r>
      <w:r>
        <w:rPr>
          <w:rFonts w:hint="eastAsia" w:ascii="Times New Roman" w:hAnsi="Times New Roman" w:eastAsia="仿宋_GB2312" w:cs="Times New Roman"/>
          <w:color w:val="auto"/>
          <w:kern w:val="2"/>
          <w:sz w:val="32"/>
          <w:szCs w:val="32"/>
          <w:lang w:val="en-US" w:eastAsia="zh-CN" w:bidi="ar-SA"/>
        </w:rPr>
        <w:t>。</w:t>
      </w:r>
    </w:p>
    <w:p>
      <w:pPr>
        <w:pStyle w:val="18"/>
        <w:numPr>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工伤保险基金收入1457万元，完成年初预算数的49.2%，增长104.6%，主要是建筑工伤参保人数增幅较大，导致保费收入增长较快，进而导致收入增幅较大。</w:t>
      </w:r>
    </w:p>
    <w:p>
      <w:pPr>
        <w:pStyle w:val="18"/>
        <w:numPr>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居民社会养老保险基金收入13073万元，完成年初预算数的74.5%，增长59.3%，主要原因：一是本年度个人缴费税务于6月开始，去年个人缴费于下半年开始；二是财政两直资金进度考核要求，财政补助进度加快。</w:t>
      </w:r>
    </w:p>
    <w:p>
      <w:pPr>
        <w:pStyle w:val="18"/>
        <w:numPr>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居民基本医疗保险基金收入20858万元，完成年初预算数的62.6%，增长104.9%，主要原因：一是缴费标准提高；二是财政补助进度加快。</w:t>
      </w:r>
    </w:p>
    <w:p>
      <w:pPr>
        <w:pStyle w:val="18"/>
        <w:numPr>
          <w:numId w:val="0"/>
        </w:numPr>
        <w:spacing w:line="55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2"/>
          <w:sz w:val="32"/>
          <w:szCs w:val="32"/>
          <w:lang w:val="en-US" w:eastAsia="zh-CN" w:bidi="ar-SA"/>
        </w:rPr>
        <w:t>6．</w:t>
      </w:r>
      <w:r>
        <w:rPr>
          <w:rFonts w:hint="default" w:ascii="Times New Roman" w:hAnsi="Times New Roman" w:eastAsia="仿宋_GB2312" w:cs="Times New Roman"/>
          <w:color w:val="auto"/>
          <w:kern w:val="2"/>
          <w:sz w:val="32"/>
          <w:szCs w:val="32"/>
          <w:lang w:val="en-US" w:eastAsia="zh-CN" w:bidi="ar-SA"/>
        </w:rPr>
        <w:t>机关事业单位基本养老保险</w:t>
      </w:r>
      <w:r>
        <w:rPr>
          <w:rFonts w:hint="default" w:ascii="Times New Roman" w:hAnsi="Times New Roman" w:eastAsia="仿宋_GB2312" w:cs="Times New Roman"/>
          <w:color w:val="auto"/>
          <w:sz w:val="32"/>
          <w:szCs w:val="32"/>
        </w:rPr>
        <w:t>基金收入</w:t>
      </w:r>
      <w:r>
        <w:rPr>
          <w:rFonts w:hint="default" w:ascii="Times New Roman" w:hAnsi="Times New Roman" w:eastAsia="仿宋_GB2312" w:cs="Times New Roman"/>
          <w:color w:val="auto"/>
          <w:sz w:val="32"/>
          <w:szCs w:val="32"/>
          <w:lang w:val="en-US" w:eastAsia="zh-CN"/>
        </w:rPr>
        <w:t>16618</w:t>
      </w:r>
      <w:r>
        <w:rPr>
          <w:rFonts w:hint="default" w:ascii="Times New Roman" w:hAnsi="Times New Roman" w:eastAsia="仿宋_GB2312" w:cs="Times New Roman"/>
          <w:color w:val="auto"/>
          <w:sz w:val="32"/>
          <w:szCs w:val="32"/>
        </w:rPr>
        <w:t>万元，完成</w:t>
      </w:r>
      <w:r>
        <w:rPr>
          <w:rFonts w:hint="default" w:ascii="Times New Roman" w:hAnsi="Times New Roman" w:eastAsia="仿宋_GB2312" w:cs="Times New Roman"/>
          <w:color w:val="auto"/>
          <w:sz w:val="32"/>
          <w:szCs w:val="32"/>
          <w:lang w:eastAsia="zh-CN"/>
        </w:rPr>
        <w:t>年初</w:t>
      </w:r>
      <w:r>
        <w:rPr>
          <w:rFonts w:hint="default" w:ascii="Times New Roman" w:hAnsi="Times New Roman" w:eastAsia="仿宋_GB2312" w:cs="Times New Roman"/>
          <w:color w:val="auto"/>
          <w:sz w:val="32"/>
          <w:szCs w:val="32"/>
        </w:rPr>
        <w:t>预算数的</w:t>
      </w:r>
      <w:r>
        <w:rPr>
          <w:rFonts w:hint="default"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p>
    <w:p>
      <w:pPr>
        <w:suppressAutoHyphens/>
        <w:topLinePunct w:val="0"/>
        <w:autoSpaceDN w:val="0"/>
        <w:spacing w:line="55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val="0"/>
          <w:color w:val="auto"/>
          <w:sz w:val="32"/>
          <w:szCs w:val="32"/>
          <w:highlight w:val="none"/>
        </w:rPr>
        <w:t>（</w:t>
      </w:r>
      <w:r>
        <w:rPr>
          <w:rFonts w:hint="default" w:ascii="Times New Roman" w:hAnsi="Times New Roman" w:eastAsia="楷体_GB2312" w:cs="Times New Roman"/>
          <w:b/>
          <w:bCs w:val="0"/>
          <w:color w:val="auto"/>
          <w:sz w:val="32"/>
          <w:szCs w:val="32"/>
          <w:highlight w:val="none"/>
          <w:lang w:eastAsia="zh-CN"/>
        </w:rPr>
        <w:t>二</w:t>
      </w:r>
      <w:r>
        <w:rPr>
          <w:rFonts w:hint="default" w:ascii="Times New Roman" w:hAnsi="Times New Roman" w:eastAsia="楷体_GB2312" w:cs="Times New Roman"/>
          <w:b/>
          <w:bCs w:val="0"/>
          <w:color w:val="auto"/>
          <w:sz w:val="32"/>
          <w:szCs w:val="32"/>
          <w:highlight w:val="none"/>
        </w:rPr>
        <w:t>）</w:t>
      </w:r>
      <w:r>
        <w:rPr>
          <w:rFonts w:hint="default" w:ascii="Times New Roman" w:hAnsi="Times New Roman" w:eastAsia="楷体_GB2312" w:cs="Times New Roman"/>
          <w:b/>
          <w:bCs w:val="0"/>
          <w:color w:val="auto"/>
          <w:sz w:val="32"/>
          <w:szCs w:val="32"/>
          <w:highlight w:val="none"/>
          <w:lang w:eastAsia="zh-CN"/>
        </w:rPr>
        <w:t>支出</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bCs w:val="0"/>
          <w:color w:val="auto"/>
          <w:sz w:val="32"/>
          <w:szCs w:val="32"/>
          <w:highlight w:val="none"/>
        </w:rPr>
        <w:t>情况</w:t>
      </w:r>
    </w:p>
    <w:p>
      <w:pPr>
        <w:pStyle w:val="18"/>
        <w:spacing w:line="550" w:lineRule="exact"/>
        <w:ind w:firstLine="68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color w:val="auto"/>
          <w:sz w:val="32"/>
          <w:szCs w:val="32"/>
        </w:rPr>
        <w:t>社保基金支出</w:t>
      </w:r>
      <w:r>
        <w:rPr>
          <w:rFonts w:hint="default" w:ascii="Times New Roman" w:hAnsi="Times New Roman" w:eastAsia="仿宋_GB2312" w:cs="Times New Roman"/>
          <w:color w:val="auto"/>
          <w:sz w:val="32"/>
          <w:szCs w:val="32"/>
          <w:lang w:val="en-US" w:eastAsia="zh-CN"/>
        </w:rPr>
        <w:t>51500</w:t>
      </w:r>
      <w:r>
        <w:rPr>
          <w:rFonts w:hint="default" w:ascii="Times New Roman" w:hAnsi="Times New Roman" w:eastAsia="仿宋_GB2312" w:cs="Times New Roman"/>
          <w:color w:val="auto"/>
          <w:sz w:val="32"/>
          <w:szCs w:val="32"/>
        </w:rPr>
        <w:t>万元，完成</w:t>
      </w:r>
      <w:r>
        <w:rPr>
          <w:rFonts w:hint="default" w:ascii="Times New Roman" w:hAnsi="Times New Roman" w:eastAsia="仿宋_GB2312" w:cs="Times New Roman"/>
          <w:color w:val="auto"/>
          <w:sz w:val="32"/>
          <w:szCs w:val="32"/>
          <w:lang w:eastAsia="zh-CN"/>
        </w:rPr>
        <w:t>年初</w:t>
      </w:r>
      <w:r>
        <w:rPr>
          <w:rFonts w:hint="default" w:ascii="Times New Roman" w:hAnsi="Times New Roman" w:eastAsia="仿宋_GB2312" w:cs="Times New Roman"/>
          <w:color w:val="auto"/>
          <w:sz w:val="32"/>
          <w:szCs w:val="32"/>
        </w:rPr>
        <w:t>预算数的</w:t>
      </w:r>
      <w:r>
        <w:rPr>
          <w:rFonts w:hint="default" w:ascii="Times New Roman" w:hAnsi="Times New Roman" w:eastAsia="仿宋_GB2312" w:cs="Times New Roman"/>
          <w:color w:val="auto"/>
          <w:sz w:val="32"/>
          <w:szCs w:val="32"/>
          <w:lang w:val="en-US" w:eastAsia="zh-CN"/>
        </w:rPr>
        <w:t>51.2</w:t>
      </w:r>
      <w:r>
        <w:rPr>
          <w:rFonts w:hint="default" w:ascii="Times New Roman" w:hAnsi="Times New Roman" w:eastAsia="仿宋_GB2312" w:cs="Times New Roman"/>
          <w:color w:val="auto"/>
          <w:sz w:val="32"/>
          <w:szCs w:val="32"/>
        </w:rPr>
        <w:t>%，增长8.</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w:t>
      </w:r>
    </w:p>
    <w:p>
      <w:pPr>
        <w:suppressAutoHyphens/>
        <w:topLinePunct/>
        <w:spacing w:line="576" w:lineRule="exact"/>
        <w:ind w:firstLine="640" w:firstLineChars="200"/>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支出分项目完成情况如下：</w:t>
      </w:r>
    </w:p>
    <w:p>
      <w:pPr>
        <w:pStyle w:val="18"/>
        <w:numPr>
          <w:ilvl w:val="0"/>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失业保险基金支出</w:t>
      </w:r>
      <w:r>
        <w:rPr>
          <w:rFonts w:hint="default"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kern w:val="2"/>
          <w:sz w:val="32"/>
          <w:szCs w:val="32"/>
          <w:lang w:val="en-US" w:eastAsia="zh-CN" w:bidi="ar-SA"/>
        </w:rPr>
        <w:t>4万元，完成年初预算数的42.9%，下降68.1%，主要是上年同期困难企业社保费返还支出1922万元。</w:t>
      </w:r>
    </w:p>
    <w:p>
      <w:pPr>
        <w:pStyle w:val="18"/>
        <w:numPr>
          <w:ilvl w:val="0"/>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default" w:ascii="Times New Roman" w:hAnsi="Times New Roman" w:eastAsia="仿宋_GB2312" w:cs="Times New Roman"/>
          <w:color w:val="auto"/>
          <w:kern w:val="2"/>
          <w:sz w:val="32"/>
          <w:szCs w:val="32"/>
          <w:lang w:val="en-US" w:eastAsia="zh-CN" w:bidi="ar-SA"/>
        </w:rPr>
        <w:t>城镇职工基本医疗保险基金支出9848万元，完成年初预算数的46.7%，下降7.3%，主要是异地、跨省、长三角定点医药费由于系统原因结算比较滞后</w:t>
      </w:r>
      <w:r>
        <w:rPr>
          <w:rFonts w:hint="eastAsia" w:ascii="Times New Roman" w:hAnsi="Times New Roman" w:eastAsia="仿宋_GB2312" w:cs="Times New Roman"/>
          <w:color w:val="auto"/>
          <w:kern w:val="2"/>
          <w:sz w:val="32"/>
          <w:szCs w:val="32"/>
          <w:lang w:val="en-US" w:eastAsia="zh-CN" w:bidi="ar-SA"/>
        </w:rPr>
        <w:t>。</w:t>
      </w:r>
    </w:p>
    <w:p>
      <w:pPr>
        <w:pStyle w:val="18"/>
        <w:numPr>
          <w:ilvl w:val="0"/>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工伤保险基金支出1459万元，完成年初预算数的53.9%，增长31.7%，主要是工伤享受人数比上年同期增长，待遇支出较去年同期增长，导致支出比去年同期增幅较大</w:t>
      </w:r>
      <w:r>
        <w:rPr>
          <w:rFonts w:hint="eastAsia" w:ascii="Times New Roman" w:hAnsi="Times New Roman" w:eastAsia="仿宋_GB2312" w:cs="Times New Roman"/>
          <w:color w:val="auto"/>
          <w:kern w:val="2"/>
          <w:sz w:val="32"/>
          <w:szCs w:val="32"/>
          <w:lang w:val="en-US" w:eastAsia="zh-CN" w:bidi="ar-SA"/>
        </w:rPr>
        <w:t>。</w:t>
      </w:r>
    </w:p>
    <w:p>
      <w:pPr>
        <w:pStyle w:val="18"/>
        <w:numPr>
          <w:ilvl w:val="0"/>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居民社会养老保险基金支出7707万元，完成年初预算数的46.1%，增长26.0%，主要是本年度退休人数增加。</w:t>
      </w:r>
    </w:p>
    <w:p>
      <w:pPr>
        <w:pStyle w:val="18"/>
        <w:numPr>
          <w:ilvl w:val="0"/>
          <w:numId w:val="0"/>
        </w:numPr>
        <w:spacing w:line="55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居民基本医疗保险基金支出15123万元，完成年初预算数的56.1%，增长19.3%，主要是二季度支付了2020年定点医疗机构drgs清算款。</w:t>
      </w:r>
    </w:p>
    <w:p>
      <w:pPr>
        <w:pStyle w:val="18"/>
        <w:numPr>
          <w:ilvl w:val="0"/>
          <w:numId w:val="0"/>
        </w:numPr>
        <w:spacing w:line="550" w:lineRule="exact"/>
        <w:ind w:firstLine="640" w:firstLineChars="200"/>
        <w:rPr>
          <w:rFonts w:hint="default" w:ascii="Times New Roman" w:hAnsi="Times New Roman" w:cs="Times New Roman"/>
          <w:color w:val="auto"/>
          <w:sz w:val="32"/>
          <w:szCs w:val="32"/>
        </w:rPr>
      </w:pPr>
      <w:r>
        <w:rPr>
          <w:rFonts w:hint="eastAsia" w:ascii="Times New Roman" w:hAnsi="Times New Roman" w:eastAsia="仿宋_GB2312" w:cs="Times New Roman"/>
          <w:color w:val="auto"/>
          <w:kern w:val="2"/>
          <w:sz w:val="32"/>
          <w:szCs w:val="32"/>
          <w:lang w:val="en-US" w:eastAsia="zh-CN" w:bidi="ar-SA"/>
        </w:rPr>
        <w:t>6．</w:t>
      </w:r>
      <w:r>
        <w:rPr>
          <w:rFonts w:hint="default" w:ascii="Times New Roman" w:hAnsi="Times New Roman" w:eastAsia="仿宋_GB2312" w:cs="Times New Roman"/>
          <w:color w:val="auto"/>
          <w:kern w:val="2"/>
          <w:sz w:val="32"/>
          <w:szCs w:val="32"/>
          <w:lang w:val="en-US" w:eastAsia="zh-CN" w:bidi="ar-SA"/>
        </w:rPr>
        <w:t>机关事业单位基本养老保险基金支出16509万元，完成年初预算数的52</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%，增长</w:t>
      </w:r>
      <w:r>
        <w:rPr>
          <w:rFonts w:hint="default" w:ascii="Times New Roman" w:hAnsi="Times New Roman" w:eastAsia="仿宋_GB2312" w:cs="Times New Roman"/>
          <w:color w:val="auto"/>
          <w:sz w:val="32"/>
          <w:szCs w:val="32"/>
          <w:lang w:val="en-US" w:eastAsia="zh-CN"/>
        </w:rPr>
        <w:t>16.0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主要是</w:t>
      </w:r>
      <w:r>
        <w:rPr>
          <w:rFonts w:hint="default" w:ascii="Times New Roman" w:hAnsi="Times New Roman" w:eastAsia="仿宋_GB2312" w:cs="Times New Roman"/>
          <w:color w:val="auto"/>
          <w:sz w:val="32"/>
          <w:szCs w:val="32"/>
        </w:rPr>
        <w:t>今年6月</w:t>
      </w:r>
      <w:r>
        <w:rPr>
          <w:rFonts w:hint="default" w:ascii="Times New Roman" w:hAnsi="Times New Roman" w:eastAsia="仿宋_GB2312" w:cs="Times New Roman"/>
          <w:color w:val="auto"/>
          <w:sz w:val="32"/>
          <w:szCs w:val="32"/>
          <w:lang w:eastAsia="zh-CN"/>
        </w:rPr>
        <w:t>份</w:t>
      </w:r>
      <w:r>
        <w:rPr>
          <w:rFonts w:hint="default" w:ascii="Times New Roman" w:hAnsi="Times New Roman" w:eastAsia="仿宋_GB2312" w:cs="Times New Roman"/>
          <w:color w:val="auto"/>
          <w:sz w:val="32"/>
          <w:szCs w:val="32"/>
        </w:rPr>
        <w:t>调待，去年于下半年调待，导致支出有所增长。</w:t>
      </w:r>
    </w:p>
    <w:p>
      <w:pPr>
        <w:spacing w:line="550" w:lineRule="exact"/>
        <w:ind w:firstLine="640" w:firstLineChars="20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lang w:val="en-US" w:eastAsia="zh-CN"/>
        </w:rPr>
        <w:t>2021年1-6月</w:t>
      </w:r>
      <w:r>
        <w:rPr>
          <w:rFonts w:hint="default" w:ascii="Times New Roman" w:hAnsi="Times New Roman" w:eastAsia="黑体" w:cs="Times New Roman"/>
          <w:color w:val="auto"/>
          <w:sz w:val="32"/>
          <w:szCs w:val="32"/>
          <w:lang w:eastAsia="zh-CN"/>
        </w:rPr>
        <w:t>国有资本经营预算收支情况</w:t>
      </w:r>
    </w:p>
    <w:p>
      <w:pPr>
        <w:suppressAutoHyphens/>
        <w:topLinePunct w:val="0"/>
        <w:autoSpaceDN w:val="0"/>
        <w:spacing w:line="550" w:lineRule="exact"/>
        <w:ind w:firstLine="643" w:firstLineChars="200"/>
        <w:rPr>
          <w:rFonts w:hint="default"/>
          <w:lang w:eastAsia="zh-CN"/>
        </w:rPr>
      </w:pPr>
      <w:r>
        <w:rPr>
          <w:rFonts w:hint="default" w:ascii="Times New Roman" w:hAnsi="Times New Roman" w:eastAsia="楷体_GB2312" w:cs="Times New Roman"/>
          <w:b/>
          <w:bCs w:val="0"/>
          <w:color w:val="auto"/>
          <w:sz w:val="32"/>
          <w:szCs w:val="32"/>
          <w:highlight w:val="none"/>
        </w:rPr>
        <w:t>（一）收入</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bCs w:val="0"/>
          <w:color w:val="auto"/>
          <w:sz w:val="32"/>
          <w:szCs w:val="32"/>
          <w:highlight w:val="none"/>
        </w:rPr>
        <w:t>情况</w:t>
      </w: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w:t>
      </w:r>
      <w:r>
        <w:rPr>
          <w:rFonts w:hint="default"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rPr>
        <w:t>县国有资本经营预算收入</w:t>
      </w:r>
      <w:r>
        <w:rPr>
          <w:rFonts w:hint="default" w:ascii="Times New Roman" w:hAnsi="Times New Roman" w:eastAsia="仿宋_GB2312" w:cs="Times New Roman"/>
          <w:color w:val="auto"/>
          <w:sz w:val="32"/>
          <w:szCs w:val="32"/>
          <w:lang w:val="en-US" w:eastAsia="zh-CN"/>
        </w:rPr>
        <w:t>1200</w:t>
      </w:r>
      <w:r>
        <w:rPr>
          <w:rFonts w:hint="default" w:ascii="Times New Roman" w:hAnsi="Times New Roman" w:eastAsia="仿宋_GB2312" w:cs="Times New Roman"/>
          <w:color w:val="auto"/>
          <w:sz w:val="32"/>
          <w:szCs w:val="32"/>
        </w:rPr>
        <w:t>万元，完成年初预算数的</w:t>
      </w:r>
      <w:r>
        <w:rPr>
          <w:rFonts w:hint="default" w:ascii="Times New Roman" w:hAnsi="Times New Roman" w:eastAsia="仿宋_GB2312" w:cs="Times New Roman"/>
          <w:color w:val="auto"/>
          <w:sz w:val="32"/>
          <w:szCs w:val="32"/>
          <w:lang w:val="en-US" w:eastAsia="zh-CN"/>
        </w:rPr>
        <w:t>60.0</w:t>
      </w:r>
      <w:r>
        <w:rPr>
          <w:rFonts w:hint="default" w:ascii="Times New Roman" w:hAnsi="Times New Roman" w:eastAsia="仿宋_GB2312" w:cs="Times New Roman"/>
          <w:color w:val="auto"/>
          <w:sz w:val="32"/>
          <w:szCs w:val="32"/>
        </w:rPr>
        <w:t>%，增长100.0%。</w:t>
      </w:r>
    </w:p>
    <w:p>
      <w:pPr>
        <w:suppressAutoHyphens/>
        <w:topLinePunct/>
        <w:spacing w:line="576" w:lineRule="exact"/>
        <w:ind w:firstLine="640" w:firstLineChars="200"/>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Cs/>
          <w:color w:val="auto"/>
          <w:sz w:val="32"/>
          <w:szCs w:val="32"/>
          <w:highlight w:val="none"/>
          <w:lang w:eastAsia="zh-CN"/>
        </w:rPr>
        <w:t>收入分项目完成情况如下：</w:t>
      </w:r>
    </w:p>
    <w:p>
      <w:pPr>
        <w:pStyle w:val="2"/>
        <w:ind w:firstLine="640" w:firstLineChars="200"/>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1．投资服务企业利润收入1000万元，完成年初预算数的50.0%，增长66.7%。</w:t>
      </w:r>
    </w:p>
    <w:p>
      <w:pPr>
        <w:pStyle w:val="2"/>
        <w:ind w:firstLine="640" w:firstLineChars="200"/>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2．其他国有资本经营收入200万元。</w:t>
      </w:r>
    </w:p>
    <w:p>
      <w:pPr>
        <w:suppressAutoHyphens/>
        <w:topLinePunct w:val="0"/>
        <w:autoSpaceDN w:val="0"/>
        <w:spacing w:line="550" w:lineRule="exact"/>
        <w:ind w:firstLine="643" w:firstLineChars="200"/>
        <w:rPr>
          <w:rFonts w:hint="default" w:ascii="Times New Roman" w:hAnsi="Times New Roman" w:cs="Times New Roman"/>
          <w:color w:val="auto"/>
          <w:sz w:val="32"/>
          <w:szCs w:val="32"/>
          <w:lang w:val="en-US" w:eastAsia="zh-CN"/>
        </w:rPr>
      </w:pPr>
      <w:r>
        <w:rPr>
          <w:rFonts w:hint="default" w:ascii="Times New Roman" w:hAnsi="Times New Roman" w:eastAsia="楷体_GB2312" w:cs="Times New Roman"/>
          <w:b/>
          <w:bCs w:val="0"/>
          <w:color w:val="auto"/>
          <w:sz w:val="32"/>
          <w:szCs w:val="32"/>
          <w:highlight w:val="none"/>
        </w:rPr>
        <w:t>（</w:t>
      </w:r>
      <w:r>
        <w:rPr>
          <w:rFonts w:hint="default" w:ascii="Times New Roman" w:hAnsi="Times New Roman" w:eastAsia="楷体_GB2312" w:cs="Times New Roman"/>
          <w:b/>
          <w:bCs w:val="0"/>
          <w:color w:val="auto"/>
          <w:sz w:val="32"/>
          <w:szCs w:val="32"/>
          <w:highlight w:val="none"/>
          <w:lang w:eastAsia="zh-CN"/>
        </w:rPr>
        <w:t>二</w:t>
      </w:r>
      <w:r>
        <w:rPr>
          <w:rFonts w:hint="default" w:ascii="Times New Roman" w:hAnsi="Times New Roman" w:eastAsia="楷体_GB2312" w:cs="Times New Roman"/>
          <w:b/>
          <w:bCs w:val="0"/>
          <w:color w:val="auto"/>
          <w:sz w:val="32"/>
          <w:szCs w:val="32"/>
          <w:highlight w:val="none"/>
        </w:rPr>
        <w:t>）</w:t>
      </w:r>
      <w:r>
        <w:rPr>
          <w:rFonts w:hint="default" w:ascii="Times New Roman" w:hAnsi="Times New Roman" w:eastAsia="楷体_GB2312" w:cs="Times New Roman"/>
          <w:b/>
          <w:bCs w:val="0"/>
          <w:color w:val="auto"/>
          <w:sz w:val="32"/>
          <w:szCs w:val="32"/>
          <w:highlight w:val="none"/>
          <w:lang w:eastAsia="zh-CN"/>
        </w:rPr>
        <w:t>支出</w:t>
      </w:r>
      <w:r>
        <w:rPr>
          <w:rFonts w:hint="default" w:ascii="Times New Roman" w:hAnsi="Times New Roman" w:eastAsia="楷体_GB2312" w:cs="Times New Roman"/>
          <w:b/>
          <w:color w:val="auto"/>
          <w:sz w:val="32"/>
          <w:szCs w:val="32"/>
          <w:highlight w:val="none"/>
          <w:lang w:eastAsia="zh-CN"/>
        </w:rPr>
        <w:t>执行</w:t>
      </w:r>
      <w:r>
        <w:rPr>
          <w:rFonts w:hint="default" w:ascii="Times New Roman" w:hAnsi="Times New Roman" w:eastAsia="楷体_GB2312" w:cs="Times New Roman"/>
          <w:b/>
          <w:bCs w:val="0"/>
          <w:color w:val="auto"/>
          <w:sz w:val="32"/>
          <w:szCs w:val="32"/>
          <w:highlight w:val="none"/>
        </w:rPr>
        <w:t>情况</w:t>
      </w:r>
    </w:p>
    <w:p>
      <w:pPr>
        <w:spacing w:line="55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1-6月，</w:t>
      </w:r>
      <w:r>
        <w:rPr>
          <w:rFonts w:hint="default" w:ascii="Times New Roman" w:hAnsi="Times New Roman" w:eastAsia="仿宋_GB2312" w:cs="Times New Roman"/>
          <w:color w:val="auto"/>
          <w:sz w:val="32"/>
          <w:szCs w:val="32"/>
          <w:lang w:eastAsia="zh-CN"/>
        </w:rPr>
        <w:t>全</w:t>
      </w:r>
      <w:r>
        <w:rPr>
          <w:rFonts w:hint="default" w:ascii="Times New Roman" w:hAnsi="Times New Roman" w:eastAsia="仿宋_GB2312" w:cs="Times New Roman"/>
          <w:color w:val="auto"/>
          <w:sz w:val="32"/>
          <w:szCs w:val="32"/>
        </w:rPr>
        <w:t>县国有资本经营预算支出</w:t>
      </w:r>
      <w:r>
        <w:rPr>
          <w:rFonts w:hint="default" w:ascii="Times New Roman" w:hAnsi="Times New Roman" w:eastAsia="仿宋_GB2312" w:cs="Times New Roman"/>
          <w:color w:val="auto"/>
          <w:sz w:val="32"/>
          <w:szCs w:val="32"/>
          <w:lang w:eastAsia="zh-CN"/>
        </w:rPr>
        <w:t>未发生支出</w:t>
      </w:r>
      <w:r>
        <w:rPr>
          <w:rFonts w:hint="default" w:ascii="Times New Roman" w:hAnsi="Times New Roman" w:eastAsia="仿宋_GB2312" w:cs="Times New Roman"/>
          <w:color w:val="auto"/>
          <w:sz w:val="32"/>
          <w:szCs w:val="32"/>
        </w:rPr>
        <w:t>。</w:t>
      </w:r>
    </w:p>
    <w:p>
      <w:pPr>
        <w:rPr>
          <w:rFonts w:hint="default" w:ascii="Times New Roman" w:hAnsi="Times New Roman" w:eastAsia="方正小标宋简体" w:cs="Times New Roman"/>
          <w:b w:val="0"/>
          <w:bCs/>
          <w:i w:val="0"/>
          <w:color w:val="auto"/>
          <w:spacing w:val="-11"/>
          <w:kern w:val="0"/>
          <w:sz w:val="44"/>
          <w:szCs w:val="44"/>
          <w:highlight w:val="none"/>
          <w:u w:val="none"/>
          <w:lang w:val="en-US" w:eastAsia="zh-CN" w:bidi="ar"/>
        </w:rPr>
      </w:pPr>
      <w:r>
        <w:rPr>
          <w:rFonts w:hint="default" w:ascii="Times New Roman" w:hAnsi="Times New Roman" w:eastAsia="方正小标宋简体" w:cs="Times New Roman"/>
          <w:b w:val="0"/>
          <w:bCs/>
          <w:i w:val="0"/>
          <w:color w:val="auto"/>
          <w:spacing w:val="-11"/>
          <w:kern w:val="0"/>
          <w:sz w:val="44"/>
          <w:szCs w:val="44"/>
          <w:highlight w:val="none"/>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color w:val="auto"/>
          <w:spacing w:val="-11"/>
          <w:sz w:val="44"/>
          <w:szCs w:val="44"/>
          <w:highlight w:val="none"/>
        </w:rPr>
      </w:pPr>
      <w:r>
        <w:rPr>
          <w:rFonts w:hint="default" w:ascii="Times New Roman" w:hAnsi="Times New Roman" w:eastAsia="方正小标宋简体" w:cs="Times New Roman"/>
          <w:b w:val="0"/>
          <w:bCs/>
          <w:i w:val="0"/>
          <w:color w:val="auto"/>
          <w:spacing w:val="-11"/>
          <w:kern w:val="0"/>
          <w:sz w:val="44"/>
          <w:szCs w:val="44"/>
          <w:highlight w:val="none"/>
          <w:u w:val="none"/>
          <w:lang w:val="en-US" w:eastAsia="zh-CN" w:bidi="ar"/>
        </w:rPr>
        <w:t>常山县2021年1-6月一般公共预算收入执行情况</w:t>
      </w:r>
    </w:p>
    <w:p>
      <w:pPr>
        <w:keepNext w:val="0"/>
        <w:keepLines w:val="0"/>
        <w:pageBreakBefore w:val="0"/>
        <w:kinsoku/>
        <w:overflowPunct/>
        <w:autoSpaceDE/>
        <w:autoSpaceDN/>
        <w:bidi w:val="0"/>
        <w:adjustRightInd/>
        <w:spacing w:line="550" w:lineRule="exact"/>
        <w:jc w:val="right"/>
        <w:rPr>
          <w:rStyle w:val="21"/>
          <w:rFonts w:hint="default" w:ascii="Times New Roman" w:hAnsi="Times New Roman" w:eastAsia="黑体" w:cs="Times New Roman"/>
          <w:color w:val="auto"/>
          <w:highlight w:val="none"/>
          <w:lang w:val="en-US" w:eastAsia="zh-CN" w:bidi="ar"/>
        </w:rPr>
      </w:pPr>
      <w:r>
        <w:rPr>
          <w:rStyle w:val="21"/>
          <w:rFonts w:hint="default" w:ascii="Times New Roman" w:hAnsi="Times New Roman" w:eastAsia="黑体" w:cs="Times New Roman"/>
          <w:color w:val="auto"/>
          <w:highlight w:val="none"/>
          <w:lang w:val="en-US" w:eastAsia="zh-CN" w:bidi="ar"/>
        </w:rPr>
        <w:t>单位：万元</w:t>
      </w:r>
    </w:p>
    <w:tbl>
      <w:tblPr>
        <w:tblStyle w:val="10"/>
        <w:tblW w:w="8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13"/>
        <w:gridCol w:w="1245"/>
        <w:gridCol w:w="1095"/>
        <w:gridCol w:w="139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 w:hRule="atLeas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科目名称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预算数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一、</w:t>
            </w:r>
            <w:r>
              <w:rPr>
                <w:rFonts w:hint="default" w:ascii="Times New Roman" w:hAnsi="Times New Roman" w:eastAsia="仿宋_GB2312" w:cs="Times New Roman"/>
                <w:b/>
                <w:i w:val="0"/>
                <w:color w:val="auto"/>
                <w:kern w:val="0"/>
                <w:sz w:val="26"/>
                <w:szCs w:val="26"/>
                <w:u w:val="none"/>
                <w:lang w:val="en-US" w:eastAsia="zh-CN" w:bidi="ar"/>
              </w:rPr>
              <w:t>一般公共预算本级收入合计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131658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90953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69.1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税收收入小计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113720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73601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64.7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主体税种收入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75120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44613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59.4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增值税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50000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26818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53.6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企业所得税（40%）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22400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15930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71.1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个人所得税（40%）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2720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1865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68.6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小税种收入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22600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18669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82.6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资源税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1400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1064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76.0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城市维护建设税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7000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2925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41.8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房产税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2374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237.4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印花税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1800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1122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62.3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城镇土地使用税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2136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213.6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土地增值税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9000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8301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92.2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车船税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900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538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59.8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环保税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209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41.8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农业两税收入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16000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10319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64.5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329.6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耕地占用税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13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0.4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契税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13000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10306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79.3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329.6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非税收入小计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17938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17352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96.7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专项收入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7007</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4346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62.0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行政事业性收费收入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2200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2986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135.7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罚没收入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4631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5770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124.6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85.8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 </w:t>
            </w: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spacing w:val="-11"/>
                <w:kern w:val="0"/>
                <w:sz w:val="26"/>
                <w:szCs w:val="26"/>
                <w:u w:val="none"/>
                <w:lang w:val="en-US" w:eastAsia="zh-CN" w:bidi="ar"/>
              </w:rPr>
              <w:t>国有资源（资产）有偿使用收入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3250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3520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108.3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 </w:t>
            </w: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政府住房基金收入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850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91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10.7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捐赠收入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仿宋_GB2312" w:cs="Times New Roman"/>
                <w:b/>
                <w:i w:val="0"/>
                <w:color w:val="auto"/>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639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仿宋_GB2312" w:cs="Times New Roman"/>
                <w:b/>
                <w:i w:val="0"/>
                <w:color w:val="auto"/>
                <w:sz w:val="26"/>
                <w:szCs w:val="2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仿宋_GB2312" w:cs="Times New Roman"/>
                <w:b/>
                <w:i w:val="0"/>
                <w:color w:val="auto"/>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二、上划中央收入合计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87680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53521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61.0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消费税</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仿宋_GB2312" w:cs="Times New Roman"/>
                <w:b/>
                <w:i w:val="0"/>
                <w:color w:val="auto"/>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10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default" w:ascii="Times New Roman" w:hAnsi="Times New Roman" w:eastAsia="仿宋_GB2312" w:cs="Times New Roman"/>
                <w:b/>
                <w:i w:val="0"/>
                <w:color w:val="auto"/>
                <w:sz w:val="26"/>
                <w:szCs w:val="2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增值税中央部分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50000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26818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53.6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个人所得税(60%)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4080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2798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68.6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企业所得税(60%)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33600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23895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71.1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trPr>
        <w:tc>
          <w:tcPr>
            <w:tcW w:w="4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三、财政总收入合计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219338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144474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65.9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28.7 </w:t>
            </w:r>
          </w:p>
        </w:tc>
      </w:tr>
    </w:tbl>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pacing w:val="-11"/>
          <w:sz w:val="44"/>
          <w:szCs w:val="44"/>
          <w:highlight w:val="none"/>
        </w:rPr>
      </w:pPr>
      <w:r>
        <w:rPr>
          <w:rFonts w:hint="default" w:ascii="Times New Roman" w:hAnsi="Times New Roman" w:eastAsia="方正小标宋简体" w:cs="Times New Roman"/>
          <w:b w:val="0"/>
          <w:bCs/>
          <w:i w:val="0"/>
          <w:color w:val="auto"/>
          <w:spacing w:val="-11"/>
          <w:kern w:val="0"/>
          <w:sz w:val="44"/>
          <w:szCs w:val="44"/>
          <w:highlight w:val="none"/>
          <w:u w:val="none"/>
          <w:lang w:val="en-US" w:eastAsia="zh-CN" w:bidi="ar"/>
        </w:rPr>
        <w:t>常山县2021年1-6月一般公共预算支出执行情况</w:t>
      </w:r>
    </w:p>
    <w:p>
      <w:pPr>
        <w:keepNext w:val="0"/>
        <w:keepLines w:val="0"/>
        <w:pageBreakBefore w:val="0"/>
        <w:kinsoku/>
        <w:overflowPunct/>
        <w:autoSpaceDE/>
        <w:autoSpaceDN/>
        <w:bidi w:val="0"/>
        <w:adjustRightInd/>
        <w:spacing w:line="550" w:lineRule="exact"/>
        <w:jc w:val="right"/>
        <w:rPr>
          <w:rStyle w:val="21"/>
          <w:rFonts w:hint="default" w:ascii="Times New Roman" w:hAnsi="Times New Roman" w:eastAsia="黑体" w:cs="Times New Roman"/>
          <w:color w:val="auto"/>
          <w:highlight w:val="none"/>
          <w:lang w:val="en-US" w:eastAsia="zh-CN" w:bidi="ar"/>
        </w:rPr>
      </w:pPr>
      <w:r>
        <w:rPr>
          <w:rStyle w:val="21"/>
          <w:rFonts w:hint="default" w:ascii="Times New Roman" w:hAnsi="Times New Roman" w:eastAsia="黑体" w:cs="Times New Roman"/>
          <w:color w:val="auto"/>
          <w:highlight w:val="none"/>
          <w:lang w:val="en-US" w:eastAsia="zh-CN" w:bidi="ar"/>
        </w:rPr>
        <w:t>单位</w:t>
      </w:r>
      <w:r>
        <w:rPr>
          <w:rStyle w:val="22"/>
          <w:rFonts w:hint="default" w:ascii="Times New Roman" w:hAnsi="Times New Roman" w:eastAsia="黑体" w:cs="Times New Roman"/>
          <w:color w:val="auto"/>
          <w:sz w:val="26"/>
          <w:szCs w:val="26"/>
          <w:highlight w:val="none"/>
          <w:lang w:val="en-US" w:eastAsia="zh-CN" w:bidi="ar"/>
        </w:rPr>
        <w:t>：</w:t>
      </w:r>
      <w:r>
        <w:rPr>
          <w:rStyle w:val="21"/>
          <w:rFonts w:hint="default" w:ascii="Times New Roman" w:hAnsi="Times New Roman" w:eastAsia="黑体" w:cs="Times New Roman"/>
          <w:color w:val="auto"/>
          <w:highlight w:val="none"/>
          <w:lang w:val="en-US" w:eastAsia="zh-CN" w:bidi="ar"/>
        </w:rPr>
        <w:t>万元</w:t>
      </w:r>
    </w:p>
    <w:tbl>
      <w:tblPr>
        <w:tblStyle w:val="10"/>
        <w:tblW w:w="8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33"/>
        <w:gridCol w:w="1521"/>
        <w:gridCol w:w="1355"/>
        <w:gridCol w:w="1144"/>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8"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科目名称</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年初预算数</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一般公共预算本级支出合计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508288</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344349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67.7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一般公共服务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44243</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30326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68.5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国防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249</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138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55.4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557.1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公共</w:t>
            </w:r>
            <w:r>
              <w:rPr>
                <w:rStyle w:val="24"/>
                <w:rFonts w:hint="default" w:ascii="Times New Roman" w:hAnsi="Times New Roman" w:eastAsia="仿宋_GB2312" w:cs="Times New Roman"/>
                <w:b w:val="0"/>
                <w:bCs w:val="0"/>
                <w:color w:val="auto"/>
                <w:sz w:val="26"/>
                <w:szCs w:val="26"/>
                <w:lang w:val="en-US" w:eastAsia="zh-CN" w:bidi="ar"/>
              </w:rPr>
              <w:t>安全</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20998</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12957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61.7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教</w:t>
            </w:r>
            <w:r>
              <w:rPr>
                <w:rStyle w:val="24"/>
                <w:rFonts w:hint="default" w:ascii="Times New Roman" w:hAnsi="Times New Roman" w:eastAsia="仿宋_GB2312" w:cs="Times New Roman"/>
                <w:b w:val="0"/>
                <w:bCs w:val="0"/>
                <w:color w:val="auto"/>
                <w:sz w:val="26"/>
                <w:szCs w:val="26"/>
                <w:lang w:val="en-US" w:eastAsia="zh-CN" w:bidi="ar"/>
              </w:rPr>
              <w:t>育</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64365</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39816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61.9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科学</w:t>
            </w:r>
            <w:r>
              <w:rPr>
                <w:rStyle w:val="24"/>
                <w:rFonts w:hint="default" w:ascii="Times New Roman" w:hAnsi="Times New Roman" w:eastAsia="仿宋_GB2312" w:cs="Times New Roman"/>
                <w:b w:val="0"/>
                <w:bCs w:val="0"/>
                <w:color w:val="auto"/>
                <w:sz w:val="26"/>
                <w:szCs w:val="26"/>
                <w:lang w:val="en-US" w:eastAsia="zh-CN" w:bidi="ar"/>
              </w:rPr>
              <w:t>技术</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12518</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5576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44.5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文化旅游体育与传媒</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9117</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5644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61.9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社会保障</w:t>
            </w:r>
            <w:r>
              <w:rPr>
                <w:rStyle w:val="24"/>
                <w:rFonts w:hint="default" w:ascii="Times New Roman" w:hAnsi="Times New Roman" w:eastAsia="仿宋_GB2312" w:cs="Times New Roman"/>
                <w:b w:val="0"/>
                <w:bCs w:val="0"/>
                <w:color w:val="auto"/>
                <w:sz w:val="26"/>
                <w:szCs w:val="26"/>
                <w:lang w:val="en-US" w:eastAsia="zh-CN" w:bidi="ar"/>
              </w:rPr>
              <w:t>和就业</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79269</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43277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54.6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Style w:val="24"/>
                <w:rFonts w:hint="default" w:ascii="Times New Roman" w:hAnsi="Times New Roman" w:eastAsia="仿宋_GB2312" w:cs="Times New Roman"/>
                <w:b w:val="0"/>
                <w:bCs w:val="0"/>
                <w:color w:val="auto"/>
                <w:sz w:val="26"/>
                <w:szCs w:val="26"/>
                <w:lang w:val="en-US" w:eastAsia="zh-CN" w:bidi="ar"/>
              </w:rPr>
              <w:t>卫生健康</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57541</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39276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68.3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节能</w:t>
            </w:r>
            <w:r>
              <w:rPr>
                <w:rStyle w:val="24"/>
                <w:rFonts w:hint="default" w:ascii="Times New Roman" w:hAnsi="Times New Roman" w:eastAsia="仿宋_GB2312" w:cs="Times New Roman"/>
                <w:b w:val="0"/>
                <w:bCs w:val="0"/>
                <w:color w:val="auto"/>
                <w:sz w:val="26"/>
                <w:szCs w:val="26"/>
                <w:lang w:val="en-US" w:eastAsia="zh-CN" w:bidi="ar"/>
              </w:rPr>
              <w:t>环保</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10754</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12036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111.9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城乡</w:t>
            </w:r>
            <w:r>
              <w:rPr>
                <w:rStyle w:val="24"/>
                <w:rFonts w:hint="default" w:ascii="Times New Roman" w:hAnsi="Times New Roman" w:eastAsia="仿宋_GB2312" w:cs="Times New Roman"/>
                <w:b w:val="0"/>
                <w:bCs w:val="0"/>
                <w:color w:val="auto"/>
                <w:sz w:val="26"/>
                <w:szCs w:val="26"/>
                <w:lang w:val="en-US" w:eastAsia="zh-CN" w:bidi="ar"/>
              </w:rPr>
              <w:t>社区</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22103</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10091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45.7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农林水</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65777</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51468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78.2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交通运输</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61385</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63495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103.4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资源勘探工业信息等</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2989</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2843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95.1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商业服务业等</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3583</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1305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36.4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金融</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361</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651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180.3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自然资源海洋气象等</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20480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9043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44.2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住房保障</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14500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7998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55.2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948.2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粮油物资储备</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1994</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1004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50.4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灾害防治及应急管理</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2285</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1115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48.8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仿宋_GB2312" w:cs="Times New Roman"/>
                <w:b w:val="0"/>
                <w:bCs w:val="0"/>
                <w:i w:val="0"/>
                <w:color w:val="auto"/>
                <w:sz w:val="26"/>
                <w:szCs w:val="26"/>
                <w:u w:val="none"/>
              </w:rPr>
            </w:pPr>
            <w:r>
              <w:rPr>
                <w:rFonts w:hint="eastAsia" w:ascii="Times New Roman" w:hAnsi="Times New Roman" w:eastAsia="仿宋_GB2312" w:cs="Times New Roman"/>
                <w:b w:val="0"/>
                <w:bCs w:val="0"/>
                <w:i w:val="0"/>
                <w:color w:val="auto"/>
                <w:kern w:val="0"/>
                <w:sz w:val="26"/>
                <w:szCs w:val="26"/>
                <w:u w:val="none"/>
                <w:lang w:val="en-US" w:eastAsia="zh-CN" w:bidi="ar"/>
              </w:rPr>
              <w:t xml:space="preserve">  </w:t>
            </w:r>
            <w:r>
              <w:rPr>
                <w:rFonts w:hint="default" w:ascii="Times New Roman" w:hAnsi="Times New Roman" w:eastAsia="仿宋_GB2312" w:cs="Times New Roman"/>
                <w:b w:val="0"/>
                <w:bCs w:val="0"/>
                <w:i w:val="0"/>
                <w:color w:val="auto"/>
                <w:kern w:val="0"/>
                <w:sz w:val="26"/>
                <w:szCs w:val="26"/>
                <w:u w:val="none"/>
                <w:lang w:val="en-US" w:eastAsia="zh-CN" w:bidi="ar"/>
              </w:rPr>
              <w:t>债务付息及发行费用</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13777</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6290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45.7 </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11.1 </w:t>
            </w:r>
          </w:p>
        </w:tc>
      </w:tr>
    </w:tbl>
    <w:p>
      <w:pPr>
        <w:pStyle w:val="3"/>
        <w:topLinePunct/>
        <w:spacing w:line="532" w:lineRule="exact"/>
        <w:ind w:left="0"/>
        <w:jc w:val="center"/>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常山县2021年1-6月政府性基金预算收入</w:t>
      </w:r>
    </w:p>
    <w:p>
      <w:pPr>
        <w:pStyle w:val="3"/>
        <w:topLinePunct/>
        <w:spacing w:line="532" w:lineRule="exact"/>
        <w:ind w:left="0"/>
        <w:jc w:val="center"/>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执行情况</w:t>
      </w:r>
    </w:p>
    <w:p>
      <w:pPr>
        <w:pStyle w:val="3"/>
        <w:keepNext w:val="0"/>
        <w:keepLines w:val="0"/>
        <w:pageBreakBefore w:val="0"/>
        <w:widowControl w:val="0"/>
        <w:kinsoku/>
        <w:wordWrap/>
        <w:overflowPunct/>
        <w:topLinePunct/>
        <w:autoSpaceDE/>
        <w:autoSpaceDN/>
        <w:bidi w:val="0"/>
        <w:adjustRightInd/>
        <w:snapToGrid/>
        <w:spacing w:before="0" w:beforeLines="0" w:after="0" w:afterLines="0" w:line="372" w:lineRule="exact"/>
        <w:ind w:left="0"/>
        <w:jc w:val="right"/>
        <w:textAlignment w:val="auto"/>
        <w:rPr>
          <w:rStyle w:val="23"/>
          <w:rFonts w:hint="default" w:ascii="Times New Roman" w:hAnsi="Times New Roman" w:eastAsia="黑体" w:cs="Times New Roman"/>
          <w:b w:val="0"/>
          <w:bCs/>
          <w:color w:val="auto"/>
          <w:sz w:val="24"/>
          <w:szCs w:val="24"/>
          <w:highlight w:val="none"/>
          <w:lang w:val="en-US" w:eastAsia="zh-CN" w:bidi="ar"/>
        </w:rPr>
      </w:pPr>
      <w:r>
        <w:rPr>
          <w:rStyle w:val="23"/>
          <w:rFonts w:hint="default" w:ascii="Times New Roman" w:hAnsi="Times New Roman" w:eastAsia="黑体" w:cs="Times New Roman"/>
          <w:b w:val="0"/>
          <w:bCs/>
          <w:color w:val="auto"/>
          <w:sz w:val="24"/>
          <w:szCs w:val="24"/>
          <w:highlight w:val="none"/>
          <w:lang w:val="en-US" w:eastAsia="zh-CN" w:bidi="ar"/>
        </w:rPr>
        <w:t>单位</w:t>
      </w:r>
      <w:r>
        <w:rPr>
          <w:rFonts w:hint="default" w:ascii="Times New Roman" w:hAnsi="Times New Roman" w:eastAsia="黑体" w:cs="Times New Roman"/>
          <w:b w:val="0"/>
          <w:bCs/>
          <w:color w:val="auto"/>
          <w:sz w:val="24"/>
          <w:szCs w:val="24"/>
          <w:highlight w:val="none"/>
          <w:lang w:val="en-US" w:eastAsia="zh-CN" w:bidi="ar"/>
        </w:rPr>
        <w:t>：</w:t>
      </w:r>
      <w:r>
        <w:rPr>
          <w:rStyle w:val="23"/>
          <w:rFonts w:hint="default" w:ascii="Times New Roman" w:hAnsi="Times New Roman" w:eastAsia="黑体" w:cs="Times New Roman"/>
          <w:b w:val="0"/>
          <w:bCs/>
          <w:color w:val="auto"/>
          <w:sz w:val="24"/>
          <w:szCs w:val="24"/>
          <w:highlight w:val="none"/>
          <w:lang w:val="en-US" w:eastAsia="zh-CN" w:bidi="ar"/>
        </w:rPr>
        <w:t>万元</w:t>
      </w:r>
    </w:p>
    <w:p>
      <w:pPr>
        <w:pStyle w:val="3"/>
        <w:keepNext w:val="0"/>
        <w:keepLines w:val="0"/>
        <w:pageBreakBefore w:val="0"/>
        <w:widowControl w:val="0"/>
        <w:kinsoku/>
        <w:wordWrap/>
        <w:overflowPunct/>
        <w:topLinePunct/>
        <w:autoSpaceDE/>
        <w:autoSpaceDN/>
        <w:bidi w:val="0"/>
        <w:adjustRightInd/>
        <w:snapToGrid/>
        <w:spacing w:before="0" w:beforeLines="0" w:after="0" w:afterLines="0" w:line="372" w:lineRule="exact"/>
        <w:ind w:left="0"/>
        <w:jc w:val="right"/>
        <w:textAlignment w:val="auto"/>
        <w:rPr>
          <w:rStyle w:val="23"/>
          <w:rFonts w:hint="default" w:ascii="Times New Roman" w:hAnsi="Times New Roman" w:eastAsia="黑体" w:cs="Times New Roman"/>
          <w:b w:val="0"/>
          <w:bCs/>
          <w:color w:val="auto"/>
          <w:sz w:val="28"/>
          <w:szCs w:val="28"/>
          <w:highlight w:val="none"/>
          <w:lang w:val="en-US" w:eastAsia="zh-CN" w:bidi="ar"/>
        </w:rPr>
      </w:pPr>
    </w:p>
    <w:tbl>
      <w:tblPr>
        <w:tblStyle w:val="10"/>
        <w:tblW w:w="88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92"/>
        <w:gridCol w:w="975"/>
        <w:gridCol w:w="1155"/>
        <w:gridCol w:w="138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4"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科目名称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预算数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政府性基金收入合计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242832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185552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76.4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国有土地收益基金收入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3427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2924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85.3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农业土地开发资金收入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142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64.5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国有土地使用权出让金收入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116700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150218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128.7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彩票公益金收入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47.6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城市基础设施配套费收入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1060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1331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125.6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污水处理费收入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830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69.2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彩票发行</w:t>
            </w:r>
            <w:r>
              <w:rPr>
                <w:rFonts w:hint="default" w:ascii="Times New Roman" w:hAnsi="Times New Roman" w:eastAsia="仿宋_GB2312" w:cs="Times New Roman"/>
                <w:i w:val="0"/>
                <w:color w:val="auto"/>
                <w:sz w:val="26"/>
                <w:szCs w:val="26"/>
                <w:u w:val="none"/>
                <w:lang w:val="en-US" w:eastAsia="zh-CN"/>
              </w:rPr>
              <w:t>机构</w:t>
            </w:r>
            <w:r>
              <w:rPr>
                <w:rFonts w:hint="default" w:ascii="Times New Roman" w:hAnsi="Times New Roman" w:eastAsia="仿宋_GB2312" w:cs="Times New Roman"/>
                <w:i w:val="0"/>
                <w:color w:val="auto"/>
                <w:kern w:val="0"/>
                <w:sz w:val="26"/>
                <w:szCs w:val="26"/>
                <w:u w:val="none"/>
                <w:lang w:val="en-US" w:eastAsia="zh-CN" w:bidi="ar"/>
              </w:rPr>
              <w:t>和彩票销售机构的业务费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其他政府性基金收入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120000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25.0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-50.1 </w:t>
            </w:r>
          </w:p>
        </w:tc>
      </w:tr>
    </w:tbl>
    <w:p>
      <w:pPr>
        <w:rPr>
          <w:rFonts w:hint="default" w:ascii="Times New Roman" w:hAnsi="Times New Roman" w:cs="Times New Roman"/>
          <w:color w:val="auto"/>
        </w:rPr>
      </w:pPr>
    </w:p>
    <w:p>
      <w:pPr>
        <w:pStyle w:val="3"/>
        <w:topLinePunct/>
        <w:spacing w:line="532" w:lineRule="exact"/>
        <w:ind w:left="0"/>
        <w:jc w:val="both"/>
        <w:rPr>
          <w:rFonts w:hint="default" w:ascii="Times New Roman" w:hAnsi="Times New Roman" w:eastAsia="方正小标宋简体" w:cs="Times New Roman"/>
          <w:b w:val="0"/>
          <w:bCs/>
          <w:i w:val="0"/>
          <w:color w:val="auto"/>
          <w:kern w:val="0"/>
          <w:sz w:val="44"/>
          <w:szCs w:val="44"/>
          <w:highlight w:val="none"/>
          <w:u w:val="none"/>
          <w:lang w:val="en-US" w:eastAsia="zh-CN" w:bidi="ar"/>
        </w:rPr>
      </w:pPr>
    </w:p>
    <w:p>
      <w:pPr>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br w:type="page"/>
      </w:r>
    </w:p>
    <w:p>
      <w:pPr>
        <w:pStyle w:val="3"/>
        <w:topLinePunct/>
        <w:spacing w:line="532" w:lineRule="exact"/>
        <w:ind w:left="0"/>
        <w:jc w:val="center"/>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常山县2021年1-6月政府性基金预算支出</w:t>
      </w:r>
    </w:p>
    <w:p>
      <w:pPr>
        <w:pStyle w:val="3"/>
        <w:topLinePunct/>
        <w:spacing w:line="532" w:lineRule="exact"/>
        <w:ind w:left="0"/>
        <w:jc w:val="center"/>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执行情况</w:t>
      </w:r>
    </w:p>
    <w:p>
      <w:pPr>
        <w:pStyle w:val="3"/>
        <w:keepNext w:val="0"/>
        <w:keepLines w:val="0"/>
        <w:pageBreakBefore w:val="0"/>
        <w:widowControl w:val="0"/>
        <w:kinsoku/>
        <w:wordWrap/>
        <w:overflowPunct/>
        <w:topLinePunct/>
        <w:autoSpaceDE/>
        <w:autoSpaceDN/>
        <w:bidi w:val="0"/>
        <w:adjustRightInd/>
        <w:snapToGrid/>
        <w:spacing w:before="0" w:beforeLines="0" w:after="0" w:afterLines="0" w:line="372" w:lineRule="exact"/>
        <w:ind w:left="0"/>
        <w:jc w:val="right"/>
        <w:textAlignment w:val="auto"/>
        <w:rPr>
          <w:rStyle w:val="23"/>
          <w:rFonts w:hint="default" w:ascii="Times New Roman" w:hAnsi="Times New Roman" w:eastAsia="黑体" w:cs="Times New Roman"/>
          <w:b w:val="0"/>
          <w:bCs/>
          <w:color w:val="auto"/>
          <w:sz w:val="24"/>
          <w:szCs w:val="24"/>
          <w:highlight w:val="none"/>
          <w:lang w:val="en-US" w:eastAsia="zh-CN" w:bidi="ar"/>
        </w:rPr>
      </w:pPr>
      <w:r>
        <w:rPr>
          <w:rStyle w:val="23"/>
          <w:rFonts w:hint="default" w:ascii="Times New Roman" w:hAnsi="Times New Roman" w:eastAsia="黑体" w:cs="Times New Roman"/>
          <w:b w:val="0"/>
          <w:bCs/>
          <w:color w:val="auto"/>
          <w:sz w:val="24"/>
          <w:szCs w:val="24"/>
          <w:highlight w:val="none"/>
          <w:lang w:val="en-US" w:eastAsia="zh-CN" w:bidi="ar"/>
        </w:rPr>
        <w:t>单位：万元</w:t>
      </w:r>
    </w:p>
    <w:tbl>
      <w:tblPr>
        <w:tblStyle w:val="10"/>
        <w:tblW w:w="8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3"/>
        <w:gridCol w:w="1117"/>
        <w:gridCol w:w="1117"/>
        <w:gridCol w:w="122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0" w:hRule="atLeas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科目名称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预算数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政府性基金支出合计</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206927</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185981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89.9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社会保障和就业</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1711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772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45.1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7"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大中型水库移民后期扶持基金支出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1711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772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45.1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城乡社区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86573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127816</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147.6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0"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国有土地使用权</w:t>
            </w:r>
            <w:r>
              <w:rPr>
                <w:rFonts w:hint="default" w:ascii="Times New Roman" w:hAnsi="Times New Roman" w:eastAsia="仿宋_GB2312" w:cs="Times New Roman"/>
                <w:i w:val="0"/>
                <w:color w:val="auto"/>
                <w:kern w:val="0"/>
                <w:sz w:val="26"/>
                <w:szCs w:val="26"/>
                <w:u w:val="none"/>
                <w:lang w:val="en-US" w:eastAsia="zh-CN" w:bidi="ar"/>
              </w:rPr>
              <w:t>出让</w:t>
            </w:r>
            <w:r>
              <w:rPr>
                <w:rFonts w:hint="default" w:ascii="Times New Roman" w:hAnsi="Times New Roman" w:eastAsia="仿宋_GB2312" w:cs="Times New Roman"/>
                <w:i w:val="0"/>
                <w:color w:val="auto"/>
                <w:kern w:val="0"/>
                <w:sz w:val="26"/>
                <w:szCs w:val="26"/>
                <w:u w:val="none"/>
                <w:lang w:val="en-US" w:eastAsia="zh-CN" w:bidi="ar"/>
              </w:rPr>
              <w:t>收入安排的支出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84532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127190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150.5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国有土地收益基金支出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201</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农业土地开发资金支出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40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7"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城市基础设施</w:t>
            </w:r>
            <w:r>
              <w:rPr>
                <w:rFonts w:hint="default" w:ascii="Times New Roman" w:hAnsi="Times New Roman" w:eastAsia="仿宋_GB2312" w:cs="Times New Roman"/>
                <w:i w:val="0"/>
                <w:color w:val="auto"/>
                <w:kern w:val="0"/>
                <w:sz w:val="26"/>
                <w:szCs w:val="26"/>
                <w:u w:val="none"/>
                <w:lang w:val="en-US" w:eastAsia="zh-CN" w:bidi="ar"/>
              </w:rPr>
              <w:t>配套费</w:t>
            </w:r>
            <w:r>
              <w:rPr>
                <w:rFonts w:hint="default" w:ascii="Times New Roman" w:hAnsi="Times New Roman" w:eastAsia="仿宋_GB2312" w:cs="Times New Roman"/>
                <w:i w:val="0"/>
                <w:color w:val="auto"/>
                <w:kern w:val="0"/>
                <w:sz w:val="26"/>
                <w:szCs w:val="26"/>
                <w:u w:val="none"/>
                <w:lang w:val="en-US" w:eastAsia="zh-CN" w:bidi="ar"/>
              </w:rPr>
              <w:t>安排的支出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污水处理费安排的支出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1200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626</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52.2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农林水</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26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b/>
                <w:i w:val="0"/>
                <w:color w:val="auto"/>
                <w:sz w:val="26"/>
                <w:szCs w:val="26"/>
                <w:u w:val="none"/>
                <w:lang w:val="en-US" w:eastAsia="zh-CN"/>
              </w:rPr>
            </w:pPr>
            <w:r>
              <w:rPr>
                <w:rFonts w:hint="eastAsia" w:ascii="Times New Roman" w:hAnsi="Times New Roman" w:eastAsia="仿宋_GB2312" w:cs="Times New Roman"/>
                <w:b/>
                <w:i w:val="0"/>
                <w:color w:val="auto"/>
                <w:sz w:val="26"/>
                <w:szCs w:val="26"/>
                <w:u w:val="none"/>
                <w:lang w:val="en-US" w:eastAsia="zh-CN"/>
              </w:rPr>
              <w:t>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b/>
                <w:i w:val="0"/>
                <w:color w:val="auto"/>
                <w:sz w:val="26"/>
                <w:szCs w:val="26"/>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b/>
                <w:i w:val="0"/>
                <w:color w:val="auto"/>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w:t>
            </w:r>
            <w:r>
              <w:rPr>
                <w:rStyle w:val="24"/>
                <w:rFonts w:hint="default" w:ascii="Times New Roman" w:hAnsi="Times New Roman" w:eastAsia="仿宋_GB2312" w:cs="Times New Roman"/>
                <w:b w:val="0"/>
                <w:bCs w:val="0"/>
                <w:color w:val="auto"/>
                <w:sz w:val="26"/>
                <w:szCs w:val="26"/>
                <w:lang w:val="en-US" w:eastAsia="zh-CN" w:bidi="ar"/>
              </w:rPr>
              <w:t>大中型水库库区基金支出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26</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其他支出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108162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52082</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48.2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彩票公益金安排的支出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766</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38.3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9"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彩票发行销售机构业务费安排的支出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i w:val="0"/>
                <w:color w:val="auto"/>
                <w:sz w:val="26"/>
                <w:szCs w:val="26"/>
                <w:u w:val="none"/>
                <w:lang w:val="en-US" w:eastAsia="zh-CN"/>
              </w:rPr>
            </w:pPr>
            <w:r>
              <w:rPr>
                <w:rFonts w:hint="eastAsia" w:ascii="Times New Roman" w:hAnsi="Times New Roman" w:eastAsia="仿宋_GB2312" w:cs="Times New Roman"/>
                <w:i w:val="0"/>
                <w:color w:val="auto"/>
                <w:sz w:val="26"/>
                <w:szCs w:val="26"/>
                <w:u w:val="none"/>
                <w:lang w:val="en-US" w:eastAsia="zh-CN"/>
              </w:rPr>
              <w:t>0</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其他政府性基金支出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106162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51316</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48.3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auto"/>
                <w:sz w:val="26"/>
                <w:szCs w:val="26"/>
                <w:u w:val="none"/>
              </w:rPr>
            </w:pPr>
            <w:r>
              <w:rPr>
                <w:rFonts w:hint="eastAsia" w:ascii="Times New Roman" w:hAnsi="Times New Roman" w:eastAsia="仿宋_GB2312" w:cs="Times New Roman"/>
                <w:b/>
                <w:i w:val="0"/>
                <w:color w:val="auto"/>
                <w:kern w:val="0"/>
                <w:sz w:val="26"/>
                <w:szCs w:val="26"/>
                <w:u w:val="none"/>
                <w:lang w:val="en-US" w:eastAsia="zh-CN" w:bidi="ar"/>
              </w:rPr>
              <w:t xml:space="preserve">  </w:t>
            </w:r>
            <w:r>
              <w:rPr>
                <w:rFonts w:hint="default" w:ascii="Times New Roman" w:hAnsi="Times New Roman" w:eastAsia="仿宋_GB2312" w:cs="Times New Roman"/>
                <w:b/>
                <w:i w:val="0"/>
                <w:color w:val="auto"/>
                <w:kern w:val="0"/>
                <w:sz w:val="26"/>
                <w:szCs w:val="26"/>
                <w:u w:val="none"/>
                <w:lang w:val="en-US" w:eastAsia="zh-CN" w:bidi="ar"/>
              </w:rPr>
              <w:t>债务付息和发行费用</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10455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5311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50.8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b/>
                <w:i w:val="0"/>
                <w:color w:val="auto"/>
                <w:sz w:val="26"/>
                <w:szCs w:val="26"/>
                <w:u w:val="none"/>
              </w:rPr>
            </w:pPr>
            <w:r>
              <w:rPr>
                <w:rFonts w:hint="default" w:ascii="Times New Roman" w:hAnsi="Times New Roman" w:eastAsia="仿宋_GB2312" w:cs="Times New Roman"/>
                <w:b/>
                <w:i w:val="0"/>
                <w:color w:val="auto"/>
                <w:kern w:val="0"/>
                <w:sz w:val="26"/>
                <w:szCs w:val="26"/>
                <w:u w:val="none"/>
                <w:lang w:val="en-US" w:eastAsia="zh-CN" w:bidi="ar"/>
              </w:rPr>
              <w:t xml:space="preserve">88.6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债务付息支出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10405</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5311</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51.0 </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    债务发行费用支出</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50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仿宋_GB2312" w:cs="Times New Roman"/>
                <w:i w:val="0"/>
                <w:color w:val="auto"/>
                <w:sz w:val="26"/>
                <w:szCs w:val="26"/>
                <w:u w:val="none"/>
              </w:rPr>
            </w:pPr>
          </w:p>
        </w:tc>
      </w:tr>
    </w:tbl>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44"/>
          <w:szCs w:val="44"/>
          <w:highlight w:val="none"/>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常山县2021年1-6月社保基金收入执行情况</w:t>
      </w:r>
    </w:p>
    <w:p>
      <w:pPr>
        <w:pStyle w:val="3"/>
        <w:keepNext w:val="0"/>
        <w:keepLines w:val="0"/>
        <w:pageBreakBefore w:val="0"/>
        <w:widowControl w:val="0"/>
        <w:kinsoku/>
        <w:wordWrap/>
        <w:overflowPunct/>
        <w:topLinePunct/>
        <w:autoSpaceDE/>
        <w:autoSpaceDN/>
        <w:bidi w:val="0"/>
        <w:adjustRightInd/>
        <w:snapToGrid/>
        <w:spacing w:before="0" w:beforeLines="0" w:after="0" w:afterLines="0" w:line="372" w:lineRule="exact"/>
        <w:ind w:left="0"/>
        <w:jc w:val="right"/>
        <w:textAlignment w:val="auto"/>
        <w:rPr>
          <w:rFonts w:hint="default" w:ascii="Times New Roman" w:hAnsi="Times New Roman" w:eastAsia="黑体" w:cs="Times New Roman"/>
          <w:b w:val="0"/>
          <w:bCs/>
          <w:color w:val="auto"/>
          <w:sz w:val="24"/>
          <w:szCs w:val="24"/>
          <w:highlight w:val="none"/>
          <w:lang w:val="en-US" w:eastAsia="zh-CN" w:bidi="ar"/>
        </w:rPr>
      </w:pPr>
      <w:r>
        <w:rPr>
          <w:rFonts w:hint="default" w:ascii="Times New Roman" w:hAnsi="Times New Roman" w:eastAsia="黑体" w:cs="Times New Roman"/>
          <w:b w:val="0"/>
          <w:bCs/>
          <w:color w:val="auto"/>
          <w:sz w:val="24"/>
          <w:szCs w:val="24"/>
          <w:highlight w:val="none"/>
          <w:lang w:val="en-US" w:eastAsia="zh-CN" w:bidi="ar"/>
        </w:rPr>
        <w:t>单位：万元</w:t>
      </w:r>
    </w:p>
    <w:tbl>
      <w:tblPr>
        <w:tblStyle w:val="10"/>
        <w:tblW w:w="90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86"/>
        <w:gridCol w:w="896"/>
        <w:gridCol w:w="1000"/>
        <w:gridCol w:w="834"/>
        <w:gridCol w:w="1229"/>
        <w:gridCol w:w="1291"/>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5" w:hRule="atLeast"/>
        </w:trPr>
        <w:tc>
          <w:tcPr>
            <w:tcW w:w="2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收入项目</w:t>
            </w:r>
          </w:p>
        </w:tc>
        <w:tc>
          <w:tcPr>
            <w:tcW w:w="89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年初预算数</w:t>
            </w:r>
          </w:p>
        </w:tc>
        <w:tc>
          <w:tcPr>
            <w:tcW w:w="3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1-6月执行数</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5" w:hRule="atLeast"/>
        </w:trPr>
        <w:tc>
          <w:tcPr>
            <w:tcW w:w="2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p>
        </w:tc>
        <w:tc>
          <w:tcPr>
            <w:tcW w:w="896"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p>
        </w:tc>
        <w:tc>
          <w:tcPr>
            <w:tcW w:w="10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小计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保险费收入</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利息及其他收入</w:t>
            </w: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2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社保基金收入合计</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116574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68755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26282 </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42473 </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59.0 </w:t>
            </w:r>
          </w:p>
        </w:tc>
        <w:tc>
          <w:tcPr>
            <w:tcW w:w="107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b/>
                <w:bCs/>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36.1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5" w:hRule="atLeast"/>
        </w:trPr>
        <w:tc>
          <w:tcPr>
            <w:tcW w:w="268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机关事业单位基本养老保险基金</w:t>
            </w:r>
          </w:p>
        </w:tc>
        <w:tc>
          <w:tcPr>
            <w:tcW w:w="89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33239 </w:t>
            </w:r>
          </w:p>
        </w:tc>
        <w:tc>
          <w:tcPr>
            <w:tcW w:w="1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16618 </w:t>
            </w:r>
          </w:p>
        </w:tc>
        <w:tc>
          <w:tcPr>
            <w:tcW w:w="834"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7338 </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9280 </w:t>
            </w:r>
          </w:p>
        </w:tc>
        <w:tc>
          <w:tcPr>
            <w:tcW w:w="129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50.0 </w:t>
            </w:r>
          </w:p>
        </w:tc>
        <w:tc>
          <w:tcPr>
            <w:tcW w:w="10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2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失业保险基金</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2384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946</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928 </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18</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39.7 </w:t>
            </w:r>
          </w:p>
        </w:tc>
        <w:tc>
          <w:tcPr>
            <w:tcW w:w="107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2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城镇职工基本医疗保险基金</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27150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15803 </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15412 </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391</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58.2 </w:t>
            </w:r>
          </w:p>
        </w:tc>
        <w:tc>
          <w:tcPr>
            <w:tcW w:w="107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2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工伤保险基金</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2961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1457 </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1449 </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8</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49.2 </w:t>
            </w:r>
          </w:p>
        </w:tc>
        <w:tc>
          <w:tcPr>
            <w:tcW w:w="107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2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pacing w:val="-11"/>
                <w:sz w:val="26"/>
                <w:szCs w:val="26"/>
                <w:u w:val="none"/>
              </w:rPr>
            </w:pPr>
            <w:r>
              <w:rPr>
                <w:rFonts w:hint="eastAsia" w:ascii="Times New Roman" w:hAnsi="Times New Roman" w:eastAsia="仿宋_GB2312" w:cs="Times New Roman"/>
                <w:i w:val="0"/>
                <w:color w:val="auto"/>
                <w:spacing w:val="-11"/>
                <w:kern w:val="0"/>
                <w:sz w:val="26"/>
                <w:szCs w:val="26"/>
                <w:u w:val="none"/>
                <w:lang w:val="en-US" w:eastAsia="zh-CN" w:bidi="ar"/>
              </w:rPr>
              <w:t xml:space="preserve"> </w:t>
            </w:r>
            <w:r>
              <w:rPr>
                <w:rFonts w:hint="default" w:ascii="Times New Roman" w:hAnsi="Times New Roman" w:eastAsia="仿宋_GB2312" w:cs="Times New Roman"/>
                <w:i w:val="0"/>
                <w:color w:val="auto"/>
                <w:spacing w:val="-11"/>
                <w:kern w:val="0"/>
                <w:sz w:val="26"/>
                <w:szCs w:val="26"/>
                <w:u w:val="none"/>
                <w:lang w:val="en-US" w:eastAsia="zh-CN" w:bidi="ar"/>
              </w:rPr>
              <w:t>居民社会养老保险基金</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17540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13073 </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1017 </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12056 </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74.5 </w:t>
            </w:r>
          </w:p>
        </w:tc>
        <w:tc>
          <w:tcPr>
            <w:tcW w:w="107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5" w:hRule="atLeast"/>
        </w:trPr>
        <w:tc>
          <w:tcPr>
            <w:tcW w:w="2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color w:val="auto"/>
                <w:spacing w:val="-11"/>
                <w:sz w:val="26"/>
                <w:szCs w:val="26"/>
                <w:u w:val="none"/>
              </w:rPr>
            </w:pPr>
            <w:r>
              <w:rPr>
                <w:rFonts w:hint="eastAsia" w:ascii="Times New Roman" w:hAnsi="Times New Roman" w:eastAsia="仿宋_GB2312" w:cs="Times New Roman"/>
                <w:i w:val="0"/>
                <w:color w:val="auto"/>
                <w:spacing w:val="-11"/>
                <w:kern w:val="0"/>
                <w:sz w:val="26"/>
                <w:szCs w:val="26"/>
                <w:u w:val="none"/>
                <w:lang w:val="en-US" w:eastAsia="zh-CN" w:bidi="ar"/>
              </w:rPr>
              <w:t xml:space="preserve"> </w:t>
            </w:r>
            <w:r>
              <w:rPr>
                <w:rFonts w:hint="default" w:ascii="Times New Roman" w:hAnsi="Times New Roman" w:eastAsia="仿宋_GB2312" w:cs="Times New Roman"/>
                <w:i w:val="0"/>
                <w:color w:val="auto"/>
                <w:spacing w:val="-11"/>
                <w:kern w:val="0"/>
                <w:sz w:val="26"/>
                <w:szCs w:val="26"/>
                <w:u w:val="none"/>
                <w:lang w:val="en-US" w:eastAsia="zh-CN" w:bidi="ar"/>
              </w:rPr>
              <w:t>居民基本医疗保险基金</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33300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20858 </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138 </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20720 </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62.6 </w:t>
            </w:r>
          </w:p>
        </w:tc>
        <w:tc>
          <w:tcPr>
            <w:tcW w:w="107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104.9 </w:t>
            </w:r>
          </w:p>
        </w:tc>
      </w:tr>
    </w:tbl>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b w:val="0"/>
          <w:bCs/>
          <w:i w:val="0"/>
          <w:color w:val="auto"/>
          <w:kern w:val="0"/>
          <w:sz w:val="44"/>
          <w:szCs w:val="4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简体" w:cs="Times New Roman"/>
          <w:b w:val="0"/>
          <w:bCs/>
          <w:i w:val="0"/>
          <w:color w:val="auto"/>
          <w:kern w:val="0"/>
          <w:sz w:val="44"/>
          <w:szCs w:val="44"/>
          <w:highlight w:val="none"/>
          <w:u w:val="none"/>
          <w:lang w:val="en-US" w:eastAsia="zh-CN" w:bidi="ar"/>
        </w:rPr>
      </w:pPr>
    </w:p>
    <w:p>
      <w:pPr>
        <w:rPr>
          <w:rFonts w:hint="default" w:ascii="Times New Roman" w:hAnsi="Times New Roman" w:eastAsia="方正小标宋简体" w:cs="Times New Roman"/>
          <w:b w:val="0"/>
          <w:bCs/>
          <w:i w:val="0"/>
          <w:color w:val="auto"/>
          <w:kern w:val="0"/>
          <w:sz w:val="44"/>
          <w:szCs w:val="44"/>
          <w:highlight w:val="none"/>
          <w:u w:val="none"/>
          <w:lang w:val="en-US" w:eastAsia="zh-CN" w:bidi="ar"/>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44"/>
          <w:szCs w:val="44"/>
          <w:highlight w:val="none"/>
        </w:rPr>
      </w:pPr>
      <w:r>
        <w:rPr>
          <w:rFonts w:hint="default" w:ascii="Times New Roman" w:hAnsi="Times New Roman" w:eastAsia="方正小标宋简体" w:cs="Times New Roman"/>
          <w:b w:val="0"/>
          <w:bCs/>
          <w:i w:val="0"/>
          <w:color w:val="auto"/>
          <w:kern w:val="0"/>
          <w:sz w:val="44"/>
          <w:szCs w:val="44"/>
          <w:highlight w:val="none"/>
          <w:u w:val="none"/>
          <w:lang w:val="en-US" w:eastAsia="zh-CN" w:bidi="ar"/>
        </w:rPr>
        <w:t>常山县2021年1-6月社保基金支出执行情况</w:t>
      </w:r>
    </w:p>
    <w:p>
      <w:pPr>
        <w:keepNext w:val="0"/>
        <w:keepLines w:val="0"/>
        <w:pageBreakBefore w:val="0"/>
        <w:kinsoku/>
        <w:overflowPunct/>
        <w:autoSpaceDE/>
        <w:autoSpaceDN/>
        <w:bidi w:val="0"/>
        <w:adjustRightInd/>
        <w:spacing w:line="550" w:lineRule="exact"/>
        <w:jc w:val="right"/>
        <w:rPr>
          <w:rStyle w:val="21"/>
          <w:rFonts w:hint="default" w:ascii="Times New Roman" w:hAnsi="Times New Roman" w:eastAsia="黑体" w:cs="Times New Roman"/>
          <w:color w:val="auto"/>
          <w:sz w:val="24"/>
          <w:szCs w:val="24"/>
          <w:highlight w:val="none"/>
          <w:lang w:val="en-US" w:eastAsia="zh-CN" w:bidi="ar"/>
        </w:rPr>
      </w:pPr>
      <w:r>
        <w:rPr>
          <w:rStyle w:val="21"/>
          <w:rFonts w:hint="default" w:ascii="Times New Roman" w:hAnsi="Times New Roman" w:eastAsia="黑体" w:cs="Times New Roman"/>
          <w:color w:val="auto"/>
          <w:sz w:val="24"/>
          <w:szCs w:val="24"/>
          <w:highlight w:val="none"/>
          <w:lang w:val="en-US" w:eastAsia="zh-CN" w:bidi="ar"/>
        </w:rPr>
        <w:t>单位</w:t>
      </w:r>
      <w:r>
        <w:rPr>
          <w:rStyle w:val="22"/>
          <w:rFonts w:hint="default" w:ascii="Times New Roman" w:hAnsi="Times New Roman" w:eastAsia="黑体" w:cs="Times New Roman"/>
          <w:color w:val="auto"/>
          <w:sz w:val="24"/>
          <w:szCs w:val="24"/>
          <w:highlight w:val="none"/>
          <w:lang w:val="en-US" w:eastAsia="zh-CN" w:bidi="ar"/>
        </w:rPr>
        <w:t>：</w:t>
      </w:r>
      <w:r>
        <w:rPr>
          <w:rStyle w:val="21"/>
          <w:rFonts w:hint="default" w:ascii="Times New Roman" w:hAnsi="Times New Roman" w:eastAsia="黑体" w:cs="Times New Roman"/>
          <w:color w:val="auto"/>
          <w:sz w:val="24"/>
          <w:szCs w:val="24"/>
          <w:highlight w:val="none"/>
          <w:lang w:val="en-US" w:eastAsia="zh-CN" w:bidi="ar"/>
        </w:rPr>
        <w:t>万元</w:t>
      </w:r>
    </w:p>
    <w:tbl>
      <w:tblPr>
        <w:tblStyle w:val="10"/>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22"/>
        <w:gridCol w:w="1292"/>
        <w:gridCol w:w="1438"/>
        <w:gridCol w:w="1208"/>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2" w:hRule="atLeast"/>
        </w:trPr>
        <w:tc>
          <w:tcPr>
            <w:tcW w:w="38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支出项目</w:t>
            </w:r>
          </w:p>
        </w:tc>
        <w:tc>
          <w:tcPr>
            <w:tcW w:w="129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预算数</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auto"/>
                <w:sz w:val="26"/>
                <w:szCs w:val="26"/>
                <w:u w:val="none"/>
              </w:rPr>
            </w:pPr>
          </w:p>
        </w:tc>
        <w:tc>
          <w:tcPr>
            <w:tcW w:w="129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auto"/>
                <w:sz w:val="26"/>
                <w:szCs w:val="26"/>
                <w:u w:val="none"/>
              </w:rPr>
            </w:pP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auto"/>
                <w:sz w:val="26"/>
                <w:szCs w:val="26"/>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auto"/>
                <w:sz w:val="26"/>
                <w:szCs w:val="26"/>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color w:val="auto"/>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1" w:hRule="atLeast"/>
        </w:trPr>
        <w:tc>
          <w:tcPr>
            <w:tcW w:w="3822"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社保基金支出合计</w:t>
            </w:r>
          </w:p>
        </w:tc>
        <w:tc>
          <w:tcPr>
            <w:tcW w:w="12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100611 </w:t>
            </w:r>
          </w:p>
        </w:tc>
        <w:tc>
          <w:tcPr>
            <w:tcW w:w="14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51500 </w:t>
            </w:r>
          </w:p>
        </w:tc>
        <w:tc>
          <w:tcPr>
            <w:tcW w:w="12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51.2 </w:t>
            </w:r>
          </w:p>
        </w:tc>
        <w:tc>
          <w:tcPr>
            <w:tcW w:w="1057" w:type="dxa"/>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b/>
                <w:bCs/>
                <w:i w:val="0"/>
                <w:color w:val="auto"/>
                <w:kern w:val="0"/>
                <w:sz w:val="26"/>
                <w:szCs w:val="26"/>
                <w:u w:val="none"/>
                <w:lang w:val="en-US" w:eastAsia="zh-CN" w:bidi="ar"/>
              </w:rPr>
              <w:t xml:space="preserve">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9" w:hRule="atLeast"/>
        </w:trPr>
        <w:tc>
          <w:tcPr>
            <w:tcW w:w="382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机关事业单位基本养老保险基金</w:t>
            </w:r>
          </w:p>
        </w:tc>
        <w:tc>
          <w:tcPr>
            <w:tcW w:w="12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31185 </w:t>
            </w:r>
          </w:p>
        </w:tc>
        <w:tc>
          <w:tcPr>
            <w:tcW w:w="14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16509 </w:t>
            </w:r>
          </w:p>
        </w:tc>
        <w:tc>
          <w:tcPr>
            <w:tcW w:w="12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52.9 </w:t>
            </w:r>
          </w:p>
        </w:tc>
        <w:tc>
          <w:tcPr>
            <w:tcW w:w="10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kern w:val="0"/>
                <w:sz w:val="26"/>
                <w:szCs w:val="26"/>
                <w:u w:val="none"/>
                <w:lang w:val="en-US" w:eastAsia="zh-CN" w:bidi="ar"/>
              </w:rPr>
            </w:pPr>
            <w:r>
              <w:rPr>
                <w:rFonts w:hint="default" w:ascii="Times New Roman" w:hAnsi="Times New Roman" w:eastAsia="仿宋_GB2312" w:cs="Times New Roman"/>
                <w:i w:val="0"/>
                <w:color w:val="auto"/>
                <w:kern w:val="0"/>
                <w:sz w:val="26"/>
                <w:szCs w:val="26"/>
                <w:u w:val="none"/>
                <w:lang w:val="en-US" w:eastAsia="zh-CN" w:bidi="ar"/>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2" w:hRule="atLeast"/>
        </w:trPr>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失业保险基金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1990</w:t>
            </w:r>
          </w:p>
        </w:tc>
        <w:tc>
          <w:tcPr>
            <w:tcW w:w="1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854 </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42.9 </w:t>
            </w:r>
          </w:p>
        </w:tc>
        <w:tc>
          <w:tcPr>
            <w:tcW w:w="1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2" w:hRule="atLeast"/>
        </w:trPr>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城镇职工基本医疗保险基金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21080</w:t>
            </w:r>
          </w:p>
        </w:tc>
        <w:tc>
          <w:tcPr>
            <w:tcW w:w="1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9848 </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46.7 </w:t>
            </w:r>
          </w:p>
        </w:tc>
        <w:tc>
          <w:tcPr>
            <w:tcW w:w="1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2" w:hRule="atLeast"/>
        </w:trPr>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工伤保险基金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2708 </w:t>
            </w:r>
          </w:p>
        </w:tc>
        <w:tc>
          <w:tcPr>
            <w:tcW w:w="1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1459 </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53.9 </w:t>
            </w:r>
          </w:p>
        </w:tc>
        <w:tc>
          <w:tcPr>
            <w:tcW w:w="1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2" w:hRule="atLeast"/>
        </w:trPr>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居民社会养老保险基金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16700 </w:t>
            </w:r>
          </w:p>
        </w:tc>
        <w:tc>
          <w:tcPr>
            <w:tcW w:w="1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7707 </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46.1 </w:t>
            </w:r>
          </w:p>
        </w:tc>
        <w:tc>
          <w:tcPr>
            <w:tcW w:w="1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2" w:hRule="atLeast"/>
        </w:trPr>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6"/>
                <w:szCs w:val="26"/>
                <w:u w:val="none"/>
              </w:rPr>
            </w:pPr>
            <w:r>
              <w:rPr>
                <w:rFonts w:hint="eastAsia" w:ascii="Times New Roman" w:hAnsi="Times New Roman" w:eastAsia="仿宋_GB2312" w:cs="Times New Roman"/>
                <w:i w:val="0"/>
                <w:color w:val="auto"/>
                <w:kern w:val="0"/>
                <w:sz w:val="26"/>
                <w:szCs w:val="26"/>
                <w:u w:val="none"/>
                <w:lang w:val="en-US" w:eastAsia="zh-CN" w:bidi="ar"/>
              </w:rPr>
              <w:t xml:space="preserve"> </w:t>
            </w:r>
            <w:r>
              <w:rPr>
                <w:rFonts w:hint="default" w:ascii="Times New Roman" w:hAnsi="Times New Roman" w:eastAsia="仿宋_GB2312" w:cs="Times New Roman"/>
                <w:i w:val="0"/>
                <w:color w:val="auto"/>
                <w:kern w:val="0"/>
                <w:sz w:val="26"/>
                <w:szCs w:val="26"/>
                <w:u w:val="none"/>
                <w:lang w:val="en-US" w:eastAsia="zh-CN" w:bidi="ar"/>
              </w:rPr>
              <w:t>居民基本医疗保险基金</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26948</w:t>
            </w:r>
          </w:p>
        </w:tc>
        <w:tc>
          <w:tcPr>
            <w:tcW w:w="1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15123 </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56.1 </w:t>
            </w:r>
          </w:p>
        </w:tc>
        <w:tc>
          <w:tcPr>
            <w:tcW w:w="1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i w:val="0"/>
                <w:color w:val="auto"/>
                <w:sz w:val="26"/>
                <w:szCs w:val="26"/>
                <w:u w:val="none"/>
              </w:rPr>
            </w:pPr>
            <w:r>
              <w:rPr>
                <w:rFonts w:hint="default" w:ascii="Times New Roman" w:hAnsi="Times New Roman" w:eastAsia="仿宋_GB2312" w:cs="Times New Roman"/>
                <w:i w:val="0"/>
                <w:color w:val="auto"/>
                <w:kern w:val="0"/>
                <w:sz w:val="26"/>
                <w:szCs w:val="26"/>
                <w:u w:val="none"/>
                <w:lang w:val="en-US" w:eastAsia="zh-CN" w:bidi="ar"/>
              </w:rPr>
              <w:t xml:space="preserve">19.3 </w:t>
            </w:r>
          </w:p>
        </w:tc>
      </w:tr>
    </w:tbl>
    <w:p>
      <w:pPr>
        <w:spacing w:line="600"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p>
    <w:p>
      <w:pPr>
        <w:spacing w:line="600"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p>
    <w:p>
      <w:pP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br w:type="page"/>
      </w:r>
    </w:p>
    <w:p>
      <w:pPr>
        <w:spacing w:line="600"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t>常山县</w:t>
      </w:r>
      <w:bookmarkStart w:id="0" w:name="3-3-国有资本"/>
      <w:bookmarkEnd w:id="0"/>
      <w:r>
        <w:rPr>
          <w:rFonts w:hint="default" w:ascii="Times New Roman" w:hAnsi="Times New Roman" w:eastAsia="方正小标宋简体" w:cs="Times New Roman"/>
          <w:b w:val="0"/>
          <w:i w:val="0"/>
          <w:color w:val="auto"/>
          <w:kern w:val="2"/>
          <w:sz w:val="44"/>
          <w:szCs w:val="44"/>
          <w:highlight w:val="none"/>
          <w:u w:val="none"/>
          <w:lang w:val="en-US" w:eastAsia="zh-CN" w:bidi="ar"/>
        </w:rPr>
        <w:t>2021年1-6月国有资本经营预算收入</w:t>
      </w:r>
    </w:p>
    <w:p>
      <w:pPr>
        <w:spacing w:line="600"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t>执行情况</w:t>
      </w:r>
    </w:p>
    <w:p>
      <w:pPr>
        <w:spacing w:line="576" w:lineRule="exact"/>
        <w:jc w:val="right"/>
        <w:rPr>
          <w:rFonts w:hint="default" w:ascii="Times New Roman" w:hAnsi="Times New Roman" w:eastAsia="黑体" w:cs="Times New Roman"/>
          <w:b w:val="0"/>
          <w:bCs w:val="0"/>
          <w:i w:val="0"/>
          <w:color w:val="auto"/>
          <w:kern w:val="0"/>
          <w:sz w:val="24"/>
          <w:szCs w:val="24"/>
          <w:highlight w:val="none"/>
          <w:u w:val="none"/>
          <w:lang w:val="en-US" w:eastAsia="zh-CN" w:bidi="ar"/>
        </w:rPr>
      </w:pPr>
      <w:r>
        <w:rPr>
          <w:rFonts w:hint="default" w:ascii="Times New Roman" w:hAnsi="Times New Roman" w:eastAsia="黑体" w:cs="Times New Roman"/>
          <w:b w:val="0"/>
          <w:bCs w:val="0"/>
          <w:i w:val="0"/>
          <w:color w:val="auto"/>
          <w:kern w:val="0"/>
          <w:sz w:val="24"/>
          <w:szCs w:val="24"/>
          <w:highlight w:val="none"/>
          <w:u w:val="none"/>
          <w:lang w:val="en-US" w:eastAsia="zh-CN" w:bidi="ar"/>
        </w:rPr>
        <w:t>单位：万元</w:t>
      </w:r>
    </w:p>
    <w:tbl>
      <w:tblPr>
        <w:tblStyle w:val="10"/>
        <w:tblW w:w="8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85"/>
        <w:gridCol w:w="1126"/>
        <w:gridCol w:w="1064"/>
        <w:gridCol w:w="1082"/>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8" w:hRule="atLeast"/>
          <w:jc w:val="center"/>
        </w:trPr>
        <w:tc>
          <w:tcPr>
            <w:tcW w:w="4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科目名称</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年初</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预算数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完成年初预算数（%）</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4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jc w:val="left"/>
              <w:textAlignment w:val="center"/>
              <w:rPr>
                <w:rFonts w:hint="default" w:ascii="Times New Roman" w:hAnsi="Times New Roman" w:eastAsia="仿宋_GB2312" w:cs="Times New Roman"/>
                <w:b w:val="0"/>
                <w:bCs/>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国有资本经营预算收入合计</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27" w:beforeLines="8" w:after="27" w:afterLines="8" w:line="350" w:lineRule="exact"/>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2000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350" w:lineRule="exact"/>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1200</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350" w:lineRule="exact"/>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60.0</w:t>
            </w: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350" w:lineRule="exact"/>
              <w:jc w:val="right"/>
              <w:textAlignment w:val="center"/>
              <w:rPr>
                <w:rFonts w:hint="default" w:ascii="Times New Roman" w:hAnsi="Times New Roman" w:eastAsia="仿宋_GB2312" w:cs="Times New Roman"/>
                <w:b/>
                <w:i w:val="0"/>
                <w:color w:val="auto"/>
                <w:kern w:val="0"/>
                <w:sz w:val="26"/>
                <w:szCs w:val="26"/>
                <w:highlight w:val="none"/>
                <w:u w:val="none"/>
                <w:lang w:val="en-US" w:eastAsia="zh-CN" w:bidi="ar"/>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4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jc w:val="left"/>
              <w:textAlignment w:val="center"/>
              <w:rPr>
                <w:rFonts w:hint="default" w:ascii="Times New Roman" w:hAnsi="Times New Roman" w:eastAsia="仿宋_GB2312" w:cs="Times New Roman"/>
                <w:b/>
                <w:i w:val="0"/>
                <w:color w:val="auto"/>
                <w:sz w:val="26"/>
                <w:szCs w:val="26"/>
                <w:highlight w:val="none"/>
                <w:u w:val="none"/>
              </w:rPr>
            </w:pPr>
            <w:r>
              <w:rPr>
                <w:rFonts w:hint="eastAsia" w:ascii="Times New Roman" w:hAnsi="Times New Roman" w:eastAsia="仿宋_GB2312" w:cs="Times New Roman"/>
                <w:b/>
                <w:i w:val="0"/>
                <w:color w:val="auto"/>
                <w:kern w:val="0"/>
                <w:sz w:val="26"/>
                <w:szCs w:val="26"/>
                <w:highlight w:val="none"/>
                <w:u w:val="none"/>
                <w:lang w:val="en-US" w:eastAsia="zh-CN" w:bidi="ar"/>
              </w:rPr>
              <w:t xml:space="preserve"> </w:t>
            </w:r>
            <w:r>
              <w:rPr>
                <w:rFonts w:hint="default" w:ascii="Times New Roman" w:hAnsi="Times New Roman" w:eastAsia="仿宋_GB2312" w:cs="Times New Roman"/>
                <w:b/>
                <w:i w:val="0"/>
                <w:color w:val="auto"/>
                <w:kern w:val="0"/>
                <w:sz w:val="26"/>
                <w:szCs w:val="26"/>
                <w:highlight w:val="none"/>
                <w:u w:val="none"/>
                <w:lang w:val="en-US" w:eastAsia="zh-CN" w:bidi="ar"/>
              </w:rPr>
              <w:t>利润收入</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27" w:beforeLines="8" w:after="27" w:afterLines="8" w:line="350" w:lineRule="exact"/>
              <w:jc w:val="right"/>
              <w:textAlignment w:val="center"/>
              <w:rPr>
                <w:rFonts w:hint="default" w:ascii="Times New Roman" w:hAnsi="Times New Roman" w:eastAsia="仿宋_GB2312"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2000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1000</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50.0</w:t>
            </w: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b/>
                <w:i w:val="0"/>
                <w:color w:val="auto"/>
                <w:sz w:val="26"/>
                <w:szCs w:val="26"/>
                <w:highlight w:val="none"/>
                <w:u w:val="none"/>
              </w:rPr>
            </w:pPr>
            <w:r>
              <w:rPr>
                <w:rFonts w:hint="default" w:ascii="Times New Roman" w:hAnsi="Times New Roman" w:eastAsia="仿宋_GB2312" w:cs="Times New Roman"/>
                <w:b/>
                <w:i w:val="0"/>
                <w:color w:val="auto"/>
                <w:kern w:val="0"/>
                <w:sz w:val="26"/>
                <w:szCs w:val="26"/>
                <w:highlight w:val="none"/>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4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left="42" w:leftChars="20" w:right="42" w:rightChars="20" w:firstLine="520" w:firstLineChars="200"/>
              <w:jc w:val="left"/>
              <w:textAlignment w:val="center"/>
              <w:rPr>
                <w:rFonts w:hint="default" w:ascii="Times New Roman" w:hAnsi="Times New Roman" w:eastAsia="仿宋_GB2312"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投资服务企业利润收入</w:t>
            </w:r>
          </w:p>
        </w:tc>
        <w:tc>
          <w:tcPr>
            <w:tcW w:w="11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27" w:beforeLines="8" w:after="27" w:afterLines="8" w:line="350" w:lineRule="exact"/>
              <w:jc w:val="right"/>
              <w:textAlignment w:val="center"/>
              <w:rPr>
                <w:rFonts w:hint="default" w:ascii="Times New Roman" w:hAnsi="Times New Roman" w:eastAsia="仿宋_GB2312"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2000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1000</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Lines="0" w:afterLines="0" w:line="350" w:lineRule="exact"/>
              <w:jc w:val="right"/>
              <w:textAlignment w:val="center"/>
              <w:rPr>
                <w:rFonts w:hint="default" w:ascii="Times New Roman" w:hAnsi="Times New Roman" w:eastAsia="仿宋_GB2312" w:cs="Times New Roman"/>
                <w:i w:val="0"/>
                <w:color w:val="auto"/>
                <w:sz w:val="26"/>
                <w:szCs w:val="26"/>
                <w:highlight w:val="none"/>
                <w:u w:val="none"/>
              </w:rPr>
            </w:pPr>
            <w:r>
              <w:rPr>
                <w:rFonts w:hint="default" w:ascii="Times New Roman" w:hAnsi="Times New Roman" w:eastAsia="仿宋_GB2312" w:cs="Times New Roman"/>
                <w:i w:val="0"/>
                <w:color w:val="auto"/>
                <w:kern w:val="0"/>
                <w:sz w:val="26"/>
                <w:szCs w:val="26"/>
                <w:highlight w:val="none"/>
                <w:u w:val="none"/>
                <w:lang w:val="en-US" w:eastAsia="zh-CN" w:bidi="ar"/>
              </w:rPr>
              <w:t>50.0</w:t>
            </w: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i w:val="0"/>
                <w:color w:val="auto"/>
                <w:sz w:val="26"/>
                <w:szCs w:val="26"/>
                <w:highlight w:val="none"/>
                <w:u w:val="none"/>
                <w:lang w:val="en-US" w:eastAsia="zh-CN"/>
              </w:rPr>
            </w:pPr>
            <w:r>
              <w:rPr>
                <w:rFonts w:hint="default" w:ascii="Times New Roman" w:hAnsi="Times New Roman" w:eastAsia="仿宋_GB2312" w:cs="Times New Roman"/>
                <w:i w:val="0"/>
                <w:color w:val="auto"/>
                <w:sz w:val="26"/>
                <w:szCs w:val="26"/>
                <w:highlight w:val="none"/>
                <w:u w:val="none"/>
                <w:lang w:val="en-US" w:eastAsia="zh-CN"/>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jc w:val="center"/>
        </w:trPr>
        <w:tc>
          <w:tcPr>
            <w:tcW w:w="4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right="42" w:rightChars="20"/>
              <w:jc w:val="left"/>
              <w:textAlignment w:val="center"/>
              <w:rPr>
                <w:rFonts w:hint="default" w:ascii="Times New Roman" w:hAnsi="Times New Roman" w:eastAsia="仿宋_GB2312" w:cs="Times New Roman"/>
                <w:i w:val="0"/>
                <w:color w:val="auto"/>
                <w:kern w:val="0"/>
                <w:sz w:val="26"/>
                <w:szCs w:val="26"/>
                <w:highlight w:val="none"/>
                <w:u w:val="none"/>
                <w:lang w:val="en-US" w:eastAsia="zh-CN" w:bidi="ar"/>
              </w:rPr>
            </w:pPr>
            <w:r>
              <w:rPr>
                <w:rFonts w:hint="eastAsia" w:ascii="Times New Roman" w:hAnsi="Times New Roman" w:eastAsia="仿宋_GB2312" w:cs="Times New Roman"/>
                <w:b/>
                <w:i w:val="0"/>
                <w:color w:val="auto"/>
                <w:kern w:val="0"/>
                <w:sz w:val="26"/>
                <w:szCs w:val="26"/>
                <w:highlight w:val="none"/>
                <w:u w:val="none"/>
                <w:lang w:val="en-US" w:eastAsia="zh-CN" w:bidi="ar"/>
              </w:rPr>
              <w:t xml:space="preserve"> </w:t>
            </w:r>
            <w:r>
              <w:rPr>
                <w:rFonts w:hint="default" w:ascii="Times New Roman" w:hAnsi="Times New Roman" w:eastAsia="仿宋_GB2312" w:cs="Times New Roman"/>
                <w:b/>
                <w:i w:val="0"/>
                <w:color w:val="auto"/>
                <w:kern w:val="0"/>
                <w:sz w:val="26"/>
                <w:szCs w:val="26"/>
                <w:highlight w:val="none"/>
                <w:u w:val="none"/>
                <w:lang w:val="en-US" w:eastAsia="zh-CN" w:bidi="ar"/>
              </w:rPr>
              <w:t>其他国有资本经营收入</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27" w:beforeLines="8" w:after="27" w:afterLines="8" w:line="350" w:lineRule="exact"/>
              <w:jc w:val="right"/>
              <w:rPr>
                <w:rFonts w:hint="default" w:ascii="Times New Roman" w:hAnsi="Times New Roman" w:eastAsia="仿宋_GB2312" w:cs="Times New Roman"/>
                <w:b/>
                <w:bCs/>
                <w:i w:val="0"/>
                <w:color w:val="auto"/>
                <w:sz w:val="26"/>
                <w:szCs w:val="26"/>
                <w:highlight w:val="none"/>
                <w:u w:val="none"/>
                <w:lang w:val="en-US" w:eastAsia="zh-CN"/>
              </w:rPr>
            </w:pPr>
            <w:r>
              <w:rPr>
                <w:rFonts w:hint="default" w:ascii="Times New Roman" w:hAnsi="Times New Roman" w:eastAsia="仿宋_GB2312" w:cs="Times New Roman"/>
                <w:b/>
                <w:bCs/>
                <w:i w:val="0"/>
                <w:color w:val="auto"/>
                <w:sz w:val="26"/>
                <w:szCs w:val="26"/>
                <w:highlight w:val="none"/>
                <w:u w:val="none"/>
                <w:lang w:val="en-US" w:eastAsia="zh-CN"/>
              </w:rPr>
              <w:t>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b/>
                <w:bCs/>
                <w:i w:val="0"/>
                <w:color w:val="auto"/>
                <w:sz w:val="26"/>
                <w:szCs w:val="26"/>
                <w:highlight w:val="none"/>
                <w:u w:val="none"/>
                <w:lang w:val="en-US" w:eastAsia="zh-CN"/>
              </w:rPr>
            </w:pPr>
            <w:r>
              <w:rPr>
                <w:rFonts w:hint="default" w:ascii="Times New Roman" w:hAnsi="Times New Roman" w:eastAsia="仿宋_GB2312" w:cs="Times New Roman"/>
                <w:b/>
                <w:bCs/>
                <w:i w:val="0"/>
                <w:color w:val="auto"/>
                <w:sz w:val="26"/>
                <w:szCs w:val="26"/>
                <w:highlight w:val="none"/>
                <w:u w:val="none"/>
                <w:lang w:val="en-US" w:eastAsia="zh-CN"/>
              </w:rPr>
              <w:t>200</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b/>
                <w:bCs/>
                <w:i w:val="0"/>
                <w:color w:val="auto"/>
                <w:sz w:val="26"/>
                <w:szCs w:val="26"/>
                <w:highlight w:val="none"/>
                <w:u w:val="none"/>
              </w:rPr>
            </w:pP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i w:val="0"/>
                <w:color w:val="auto"/>
                <w:sz w:val="26"/>
                <w:szCs w:val="2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9" w:hRule="atLeast"/>
          <w:jc w:val="center"/>
        </w:trPr>
        <w:tc>
          <w:tcPr>
            <w:tcW w:w="4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50" w:lineRule="exact"/>
              <w:ind w:right="42" w:rightChars="20"/>
              <w:jc w:val="left"/>
              <w:textAlignment w:val="center"/>
              <w:rPr>
                <w:rFonts w:hint="default" w:ascii="Times New Roman" w:hAnsi="Times New Roman" w:eastAsia="仿宋_GB2312" w:cs="Times New Roman"/>
                <w:i w:val="0"/>
                <w:color w:val="auto"/>
                <w:kern w:val="0"/>
                <w:sz w:val="26"/>
                <w:szCs w:val="26"/>
                <w:highlight w:val="none"/>
                <w:u w:val="none"/>
                <w:lang w:val="en-US" w:eastAsia="zh-CN" w:bidi="ar"/>
              </w:rPr>
            </w:pPr>
            <w:r>
              <w:rPr>
                <w:rFonts w:hint="eastAsia" w:ascii="Times New Roman" w:hAnsi="Times New Roman" w:eastAsia="仿宋_GB2312" w:cs="Times New Roman"/>
                <w:b w:val="0"/>
                <w:bCs/>
                <w:i w:val="0"/>
                <w:color w:val="auto"/>
                <w:kern w:val="0"/>
                <w:sz w:val="26"/>
                <w:szCs w:val="26"/>
                <w:highlight w:val="none"/>
                <w:u w:val="none"/>
                <w:lang w:val="en-US" w:eastAsia="zh-CN" w:bidi="ar"/>
              </w:rPr>
              <w:t xml:space="preserve">    </w:t>
            </w:r>
            <w:r>
              <w:rPr>
                <w:rFonts w:hint="default" w:ascii="Times New Roman" w:hAnsi="Times New Roman" w:eastAsia="仿宋_GB2312" w:cs="Times New Roman"/>
                <w:b w:val="0"/>
                <w:bCs/>
                <w:i w:val="0"/>
                <w:color w:val="auto"/>
                <w:kern w:val="0"/>
                <w:sz w:val="26"/>
                <w:szCs w:val="26"/>
                <w:highlight w:val="none"/>
                <w:u w:val="none"/>
                <w:lang w:val="en-US" w:eastAsia="zh-CN" w:bidi="ar"/>
              </w:rPr>
              <w:t>其他国有资本经营收入</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27" w:beforeLines="8" w:after="27" w:afterLines="8" w:line="350" w:lineRule="exact"/>
              <w:jc w:val="right"/>
              <w:rPr>
                <w:rFonts w:hint="default" w:ascii="Times New Roman" w:hAnsi="Times New Roman" w:eastAsia="仿宋_GB2312" w:cs="Times New Roman"/>
                <w:i w:val="0"/>
                <w:color w:val="auto"/>
                <w:sz w:val="26"/>
                <w:szCs w:val="26"/>
                <w:highlight w:val="none"/>
                <w:u w:val="none"/>
                <w:lang w:val="en-US" w:eastAsia="zh-CN"/>
              </w:rPr>
            </w:pPr>
            <w:r>
              <w:rPr>
                <w:rFonts w:hint="default" w:ascii="Times New Roman" w:hAnsi="Times New Roman" w:eastAsia="仿宋_GB2312" w:cs="Times New Roman"/>
                <w:i w:val="0"/>
                <w:color w:val="auto"/>
                <w:sz w:val="26"/>
                <w:szCs w:val="26"/>
                <w:highlight w:val="none"/>
                <w:u w:val="none"/>
                <w:lang w:val="en-US" w:eastAsia="zh-CN"/>
              </w:rPr>
              <w:t>0</w:t>
            </w:r>
          </w:p>
        </w:tc>
        <w:tc>
          <w:tcPr>
            <w:tcW w:w="10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i w:val="0"/>
                <w:color w:val="auto"/>
                <w:sz w:val="26"/>
                <w:szCs w:val="26"/>
                <w:highlight w:val="none"/>
                <w:u w:val="none"/>
                <w:lang w:val="en-US" w:eastAsia="zh-CN"/>
              </w:rPr>
            </w:pPr>
            <w:r>
              <w:rPr>
                <w:rFonts w:hint="default" w:ascii="Times New Roman" w:hAnsi="Times New Roman" w:eastAsia="仿宋_GB2312" w:cs="Times New Roman"/>
                <w:i w:val="0"/>
                <w:color w:val="auto"/>
                <w:sz w:val="26"/>
                <w:szCs w:val="26"/>
                <w:highlight w:val="none"/>
                <w:u w:val="none"/>
                <w:lang w:val="en-US" w:eastAsia="zh-CN"/>
              </w:rPr>
              <w:t>200</w:t>
            </w: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b/>
                <w:i w:val="0"/>
                <w:color w:val="auto"/>
                <w:sz w:val="26"/>
                <w:szCs w:val="26"/>
                <w:highlight w:val="none"/>
                <w:u w:val="none"/>
              </w:rPr>
            </w:pPr>
          </w:p>
        </w:tc>
        <w:tc>
          <w:tcPr>
            <w:tcW w:w="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350" w:lineRule="exact"/>
              <w:jc w:val="right"/>
              <w:rPr>
                <w:rFonts w:hint="default" w:ascii="Times New Roman" w:hAnsi="Times New Roman" w:eastAsia="仿宋_GB2312" w:cs="Times New Roman"/>
                <w:i w:val="0"/>
                <w:color w:val="auto"/>
                <w:sz w:val="26"/>
                <w:szCs w:val="26"/>
                <w:highlight w:val="none"/>
                <w:u w:val="none"/>
              </w:rPr>
            </w:pPr>
          </w:p>
        </w:tc>
      </w:tr>
    </w:tbl>
    <w:p>
      <w:pPr>
        <w:spacing w:beforeLines="0" w:afterLines="0" w:line="576"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仿宋_GB2312" w:cs="Times New Roman"/>
          <w:color w:val="auto"/>
          <w:highlight w:val="none"/>
        </w:rPr>
        <w:br w:type="page"/>
      </w:r>
      <w:r>
        <w:rPr>
          <w:rFonts w:hint="default" w:ascii="Times New Roman" w:hAnsi="Times New Roman" w:eastAsia="方正小标宋简体" w:cs="Times New Roman"/>
          <w:b w:val="0"/>
          <w:i w:val="0"/>
          <w:color w:val="auto"/>
          <w:kern w:val="2"/>
          <w:sz w:val="44"/>
          <w:szCs w:val="44"/>
          <w:highlight w:val="none"/>
          <w:u w:val="none"/>
          <w:lang w:val="en-US" w:eastAsia="zh-CN" w:bidi="ar"/>
        </w:rPr>
        <w:t>常山县2021年1-6月国有资本经营预算支出</w:t>
      </w:r>
    </w:p>
    <w:p>
      <w:pPr>
        <w:spacing w:beforeLines="0" w:afterLines="0" w:line="576" w:lineRule="exact"/>
        <w:jc w:val="center"/>
        <w:rPr>
          <w:rFonts w:hint="default" w:ascii="Times New Roman" w:hAnsi="Times New Roman" w:eastAsia="方正小标宋简体" w:cs="Times New Roman"/>
          <w:b w:val="0"/>
          <w:i w:val="0"/>
          <w:color w:val="auto"/>
          <w:kern w:val="2"/>
          <w:sz w:val="44"/>
          <w:szCs w:val="44"/>
          <w:highlight w:val="none"/>
          <w:u w:val="none"/>
          <w:lang w:val="en-US" w:eastAsia="zh-CN" w:bidi="ar"/>
        </w:rPr>
      </w:pPr>
      <w:r>
        <w:rPr>
          <w:rFonts w:hint="default" w:ascii="Times New Roman" w:hAnsi="Times New Roman" w:eastAsia="方正小标宋简体" w:cs="Times New Roman"/>
          <w:b w:val="0"/>
          <w:i w:val="0"/>
          <w:color w:val="auto"/>
          <w:kern w:val="2"/>
          <w:sz w:val="44"/>
          <w:szCs w:val="44"/>
          <w:highlight w:val="none"/>
          <w:u w:val="none"/>
          <w:lang w:val="en-US" w:eastAsia="zh-CN" w:bidi="ar"/>
        </w:rPr>
        <w:t>执行情况</w:t>
      </w:r>
    </w:p>
    <w:p>
      <w:pPr>
        <w:spacing w:beforeLines="0" w:afterLines="0" w:line="576" w:lineRule="exact"/>
        <w:jc w:val="right"/>
        <w:rPr>
          <w:rFonts w:hint="default" w:ascii="Times New Roman" w:hAnsi="Times New Roman" w:eastAsia="黑体" w:cs="Times New Roman"/>
          <w:b w:val="0"/>
          <w:bCs/>
          <w:color w:val="auto"/>
          <w:w w:val="100"/>
          <w:kern w:val="0"/>
          <w:sz w:val="24"/>
          <w:szCs w:val="24"/>
          <w:highlight w:val="none"/>
          <w:lang w:bidi="ar"/>
        </w:rPr>
      </w:pPr>
      <w:r>
        <w:rPr>
          <w:rStyle w:val="23"/>
          <w:rFonts w:hint="default" w:ascii="Times New Roman" w:hAnsi="Times New Roman" w:eastAsia="黑体" w:cs="Times New Roman"/>
          <w:b w:val="0"/>
          <w:bCs/>
          <w:color w:val="auto"/>
          <w:kern w:val="0"/>
          <w:sz w:val="24"/>
          <w:szCs w:val="24"/>
          <w:highlight w:val="none"/>
          <w:lang w:val="en-US" w:eastAsia="zh-CN" w:bidi="ar"/>
        </w:rPr>
        <w:t>单位</w:t>
      </w:r>
      <w:r>
        <w:rPr>
          <w:rFonts w:hint="default" w:ascii="Times New Roman" w:hAnsi="Times New Roman" w:eastAsia="黑体" w:cs="Times New Roman"/>
          <w:b w:val="0"/>
          <w:bCs/>
          <w:i w:val="0"/>
          <w:color w:val="auto"/>
          <w:kern w:val="0"/>
          <w:sz w:val="24"/>
          <w:szCs w:val="24"/>
          <w:highlight w:val="none"/>
          <w:u w:val="none"/>
          <w:lang w:val="en-US" w:eastAsia="zh-CN" w:bidi="ar"/>
        </w:rPr>
        <w:t>：</w:t>
      </w:r>
      <w:r>
        <w:rPr>
          <w:rStyle w:val="23"/>
          <w:rFonts w:hint="default" w:ascii="Times New Roman" w:hAnsi="Times New Roman" w:eastAsia="黑体" w:cs="Times New Roman"/>
          <w:b w:val="0"/>
          <w:bCs/>
          <w:color w:val="auto"/>
          <w:kern w:val="0"/>
          <w:sz w:val="24"/>
          <w:szCs w:val="24"/>
          <w:highlight w:val="none"/>
          <w:lang w:val="en-US" w:eastAsia="zh-CN" w:bidi="ar"/>
        </w:rPr>
        <w:t>万元</w:t>
      </w:r>
    </w:p>
    <w:tbl>
      <w:tblPr>
        <w:tblStyle w:val="10"/>
        <w:tblW w:w="8837" w:type="dxa"/>
        <w:jc w:val="center"/>
        <w:tblLayout w:type="fixed"/>
        <w:tblCellMar>
          <w:top w:w="0" w:type="dxa"/>
          <w:left w:w="0" w:type="dxa"/>
          <w:bottom w:w="0" w:type="dxa"/>
          <w:right w:w="0" w:type="dxa"/>
        </w:tblCellMar>
      </w:tblPr>
      <w:tblGrid>
        <w:gridCol w:w="5008"/>
        <w:gridCol w:w="857"/>
        <w:gridCol w:w="1007"/>
        <w:gridCol w:w="1056"/>
        <w:gridCol w:w="909"/>
      </w:tblGrid>
      <w:tr>
        <w:tblPrEx>
          <w:tblCellMar>
            <w:top w:w="0" w:type="dxa"/>
            <w:left w:w="0" w:type="dxa"/>
            <w:bottom w:w="0" w:type="dxa"/>
            <w:right w:w="0" w:type="dxa"/>
          </w:tblCellMar>
        </w:tblPrEx>
        <w:trPr>
          <w:trHeight w:val="1142" w:hRule="atLeast"/>
          <w:jc w:val="center"/>
        </w:trPr>
        <w:tc>
          <w:tcPr>
            <w:tcW w:w="5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auto"/>
                <w:kern w:val="2"/>
                <w:sz w:val="26"/>
                <w:szCs w:val="26"/>
                <w:highlight w:val="none"/>
              </w:rPr>
            </w:pPr>
            <w:r>
              <w:rPr>
                <w:rFonts w:hint="default" w:ascii="Times New Roman" w:hAnsi="Times New Roman" w:eastAsia="仿宋_GB2312" w:cs="Times New Roman"/>
                <w:b/>
                <w:i w:val="0"/>
                <w:color w:val="auto"/>
                <w:kern w:val="0"/>
                <w:sz w:val="26"/>
                <w:szCs w:val="26"/>
                <w:u w:val="none"/>
                <w:lang w:val="en-US" w:eastAsia="zh-CN" w:bidi="ar"/>
              </w:rPr>
              <w:t>科目名称</w:t>
            </w:r>
          </w:p>
        </w:tc>
        <w:tc>
          <w:tcPr>
            <w:tcW w:w="85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val="0"/>
                <w:i w:val="0"/>
                <w:color w:val="auto"/>
                <w:kern w:val="2"/>
                <w:sz w:val="26"/>
                <w:szCs w:val="26"/>
                <w:highlight w:val="none"/>
              </w:rPr>
            </w:pPr>
            <w:r>
              <w:rPr>
                <w:rFonts w:hint="default" w:ascii="Times New Roman" w:hAnsi="Times New Roman" w:eastAsia="仿宋_GB2312" w:cs="Times New Roman"/>
                <w:b/>
                <w:i w:val="0"/>
                <w:color w:val="auto"/>
                <w:kern w:val="0"/>
                <w:sz w:val="26"/>
                <w:szCs w:val="26"/>
                <w:u w:val="none"/>
                <w:lang w:val="en-US" w:eastAsia="zh-CN" w:bidi="ar"/>
              </w:rPr>
              <w:t>年初预算数</w:t>
            </w:r>
          </w:p>
        </w:tc>
        <w:tc>
          <w:tcPr>
            <w:tcW w:w="100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1-6月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val="0"/>
                <w:i w:val="0"/>
                <w:color w:val="auto"/>
                <w:kern w:val="2"/>
                <w:sz w:val="26"/>
                <w:szCs w:val="26"/>
                <w:highlight w:val="none"/>
              </w:rPr>
            </w:pPr>
            <w:r>
              <w:rPr>
                <w:rFonts w:hint="default" w:ascii="Times New Roman" w:hAnsi="Times New Roman" w:eastAsia="仿宋_GB2312" w:cs="Times New Roman"/>
                <w:b/>
                <w:i w:val="0"/>
                <w:color w:val="auto"/>
                <w:kern w:val="0"/>
                <w:sz w:val="26"/>
                <w:szCs w:val="26"/>
                <w:u w:val="none"/>
                <w:lang w:val="en-US" w:eastAsia="zh-CN" w:bidi="ar"/>
              </w:rPr>
              <w:t>执行数</w:t>
            </w:r>
          </w:p>
        </w:tc>
        <w:tc>
          <w:tcPr>
            <w:tcW w:w="105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1" w:leftChars="-28" w:right="-73" w:rightChars="-35" w:hanging="60" w:hangingChars="23"/>
              <w:jc w:val="center"/>
              <w:textAlignment w:val="center"/>
              <w:rPr>
                <w:rFonts w:hint="default" w:ascii="Times New Roman" w:hAnsi="Times New Roman" w:eastAsia="仿宋_GB2312" w:cs="Times New Roman"/>
                <w:b/>
                <w:bCs w:val="0"/>
                <w:i w:val="0"/>
                <w:color w:val="auto"/>
                <w:kern w:val="2"/>
                <w:sz w:val="26"/>
                <w:szCs w:val="26"/>
                <w:highlight w:val="none"/>
              </w:rPr>
            </w:pPr>
            <w:r>
              <w:rPr>
                <w:rFonts w:hint="default" w:ascii="Times New Roman" w:hAnsi="Times New Roman" w:eastAsia="仿宋_GB2312" w:cs="Times New Roman"/>
                <w:b/>
                <w:i w:val="0"/>
                <w:color w:val="auto"/>
                <w:kern w:val="0"/>
                <w:sz w:val="26"/>
                <w:szCs w:val="26"/>
                <w:u w:val="none"/>
                <w:lang w:val="en-US" w:eastAsia="zh-CN" w:bidi="ar"/>
              </w:rPr>
              <w:t>完成年初预算数（</w:t>
            </w:r>
            <w:r>
              <w:rPr>
                <w:rStyle w:val="23"/>
                <w:rFonts w:hint="default" w:ascii="Times New Roman" w:hAnsi="Times New Roman" w:eastAsia="仿宋_GB2312" w:cs="Times New Roman"/>
                <w:color w:val="auto"/>
                <w:sz w:val="26"/>
                <w:szCs w:val="26"/>
                <w:lang w:val="en-US" w:eastAsia="zh-CN" w:bidi="ar"/>
              </w:rPr>
              <w:t>%</w:t>
            </w:r>
            <w:r>
              <w:rPr>
                <w:rFonts w:hint="default" w:ascii="Times New Roman" w:hAnsi="Times New Roman" w:eastAsia="仿宋_GB2312" w:cs="Times New Roman"/>
                <w:b/>
                <w:i w:val="0"/>
                <w:color w:val="auto"/>
                <w:kern w:val="0"/>
                <w:sz w:val="26"/>
                <w:szCs w:val="26"/>
                <w:u w:val="none"/>
                <w:lang w:val="en-US" w:eastAsia="zh-CN" w:bidi="ar"/>
              </w:rPr>
              <w:t>）</w:t>
            </w:r>
          </w:p>
        </w:tc>
        <w:tc>
          <w:tcPr>
            <w:tcW w:w="9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i w:val="0"/>
                <w:color w:val="auto"/>
                <w:kern w:val="0"/>
                <w:sz w:val="26"/>
                <w:szCs w:val="26"/>
                <w:u w:val="none"/>
                <w:lang w:val="en-US" w:eastAsia="zh-CN" w:bidi="ar"/>
              </w:rPr>
            </w:pPr>
            <w:r>
              <w:rPr>
                <w:rFonts w:hint="default" w:ascii="Times New Roman" w:hAnsi="Times New Roman" w:eastAsia="仿宋_GB2312" w:cs="Times New Roman"/>
                <w:b/>
                <w:i w:val="0"/>
                <w:color w:val="auto"/>
                <w:kern w:val="0"/>
                <w:sz w:val="26"/>
                <w:szCs w:val="26"/>
                <w:u w:val="none"/>
                <w:lang w:val="en-US" w:eastAsia="zh-CN" w:bidi="ar"/>
              </w:rPr>
              <w:t>比上年</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bCs w:val="0"/>
                <w:i w:val="0"/>
                <w:color w:val="auto"/>
                <w:kern w:val="2"/>
                <w:sz w:val="26"/>
                <w:szCs w:val="26"/>
                <w:highlight w:val="none"/>
              </w:rPr>
            </w:pPr>
            <w:r>
              <w:rPr>
                <w:rFonts w:hint="default" w:ascii="Times New Roman" w:hAnsi="Times New Roman" w:eastAsia="仿宋_GB2312" w:cs="Times New Roman"/>
                <w:b/>
                <w:i w:val="0"/>
                <w:color w:val="auto"/>
                <w:kern w:val="0"/>
                <w:sz w:val="26"/>
                <w:szCs w:val="26"/>
                <w:highlight w:val="none"/>
                <w:u w:val="none"/>
                <w:lang w:val="en-US" w:eastAsia="zh-CN" w:bidi="ar"/>
              </w:rPr>
              <w:t>(±%)</w:t>
            </w:r>
          </w:p>
        </w:tc>
      </w:tr>
      <w:tr>
        <w:tblPrEx>
          <w:tblCellMar>
            <w:top w:w="0" w:type="dxa"/>
            <w:left w:w="0" w:type="dxa"/>
            <w:bottom w:w="0" w:type="dxa"/>
            <w:right w:w="0" w:type="dxa"/>
          </w:tblCellMar>
        </w:tblPrEx>
        <w:trPr>
          <w:trHeight w:val="689" w:hRule="atLeast"/>
          <w:jc w:val="center"/>
        </w:trPr>
        <w:tc>
          <w:tcPr>
            <w:tcW w:w="5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leftChars="0" w:right="0" w:rightChars="0"/>
              <w:jc w:val="left"/>
              <w:textAlignment w:val="center"/>
              <w:rPr>
                <w:rFonts w:hint="default" w:ascii="Times New Roman" w:hAnsi="Times New Roman" w:eastAsia="仿宋_GB2312" w:cs="Times New Roman"/>
                <w:b/>
                <w:i w:val="0"/>
                <w:color w:val="auto"/>
                <w:kern w:val="0"/>
                <w:sz w:val="26"/>
                <w:szCs w:val="26"/>
                <w:highlight w:val="none"/>
                <w:lang w:val="en-US" w:eastAsia="zh-CN" w:bidi="ar"/>
              </w:rPr>
            </w:pPr>
            <w:r>
              <w:rPr>
                <w:rFonts w:hint="eastAsia" w:ascii="Times New Roman" w:hAnsi="Times New Roman" w:eastAsia="仿宋_GB2312" w:cs="Times New Roman"/>
                <w:b/>
                <w:i w:val="0"/>
                <w:color w:val="auto"/>
                <w:kern w:val="0"/>
                <w:sz w:val="26"/>
                <w:szCs w:val="26"/>
                <w:highlight w:val="none"/>
                <w:lang w:val="en-US" w:eastAsia="zh-CN" w:bidi="ar"/>
              </w:rPr>
              <w:t xml:space="preserve"> </w:t>
            </w:r>
            <w:r>
              <w:rPr>
                <w:rFonts w:hint="default" w:ascii="Times New Roman" w:hAnsi="Times New Roman" w:eastAsia="仿宋_GB2312" w:cs="Times New Roman"/>
                <w:b/>
                <w:i w:val="0"/>
                <w:color w:val="auto"/>
                <w:kern w:val="0"/>
                <w:sz w:val="26"/>
                <w:szCs w:val="26"/>
                <w:highlight w:val="none"/>
                <w:lang w:val="en-US" w:eastAsia="zh-CN" w:bidi="ar"/>
              </w:rPr>
              <w:t>国有资本经营预算支出合计</w:t>
            </w:r>
            <w:bookmarkStart w:id="1" w:name="_GoBack"/>
            <w:bookmarkEnd w:id="1"/>
          </w:p>
        </w:tc>
        <w:tc>
          <w:tcPr>
            <w:tcW w:w="85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leftChars="0" w:right="0" w:rightChars="0"/>
              <w:jc w:val="right"/>
              <w:textAlignment w:val="center"/>
              <w:rPr>
                <w:rFonts w:hint="default" w:ascii="Times New Roman" w:hAnsi="Times New Roman" w:eastAsia="仿宋_GB2312" w:cs="Times New Roman"/>
                <w:b/>
                <w:i w:val="0"/>
                <w:color w:val="auto"/>
                <w:kern w:val="2"/>
                <w:sz w:val="26"/>
                <w:szCs w:val="26"/>
                <w:highlight w:val="none"/>
                <w:lang w:val="en-US" w:eastAsia="zh-CN"/>
              </w:rPr>
            </w:pPr>
            <w:r>
              <w:rPr>
                <w:rFonts w:hint="default" w:ascii="Times New Roman" w:hAnsi="Times New Roman" w:eastAsia="仿宋_GB2312" w:cs="Times New Roman"/>
                <w:b/>
                <w:i w:val="0"/>
                <w:color w:val="auto"/>
                <w:kern w:val="2"/>
                <w:sz w:val="26"/>
                <w:szCs w:val="26"/>
                <w:highlight w:val="none"/>
                <w:lang w:val="en-US" w:eastAsia="zh-CN"/>
              </w:rPr>
              <w:t>1406</w:t>
            </w:r>
          </w:p>
        </w:tc>
        <w:tc>
          <w:tcPr>
            <w:tcW w:w="100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leftChars="0" w:right="0" w:rightChars="0"/>
              <w:jc w:val="right"/>
              <w:rPr>
                <w:rFonts w:hint="default" w:ascii="Times New Roman" w:hAnsi="Times New Roman" w:eastAsia="仿宋_GB2312" w:cs="Times New Roman"/>
                <w:b/>
                <w:i w:val="0"/>
                <w:color w:val="auto"/>
                <w:kern w:val="2"/>
                <w:sz w:val="26"/>
                <w:szCs w:val="26"/>
                <w:highlight w:val="none"/>
              </w:rPr>
            </w:pPr>
          </w:p>
        </w:tc>
        <w:tc>
          <w:tcPr>
            <w:tcW w:w="10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leftChars="0" w:right="0" w:rightChars="0"/>
              <w:jc w:val="right"/>
              <w:rPr>
                <w:rFonts w:hint="default" w:ascii="Times New Roman" w:hAnsi="Times New Roman" w:eastAsia="仿宋_GB2312" w:cs="Times New Roman"/>
                <w:b/>
                <w:i w:val="0"/>
                <w:color w:val="auto"/>
                <w:kern w:val="2"/>
                <w:sz w:val="26"/>
                <w:szCs w:val="26"/>
                <w:highlight w:val="none"/>
              </w:rPr>
            </w:pPr>
          </w:p>
        </w:tc>
        <w:tc>
          <w:tcPr>
            <w:tcW w:w="90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leftChars="0" w:right="0" w:rightChars="0"/>
              <w:jc w:val="right"/>
              <w:rPr>
                <w:rFonts w:hint="default" w:ascii="Times New Roman" w:hAnsi="Times New Roman" w:eastAsia="仿宋_GB2312" w:cs="Times New Roman"/>
                <w:b/>
                <w:i w:val="0"/>
                <w:color w:val="auto"/>
                <w:kern w:val="2"/>
                <w:sz w:val="26"/>
                <w:szCs w:val="26"/>
                <w:highlight w:val="none"/>
              </w:rPr>
            </w:pPr>
          </w:p>
        </w:tc>
      </w:tr>
      <w:tr>
        <w:tblPrEx>
          <w:tblCellMar>
            <w:top w:w="0" w:type="dxa"/>
            <w:left w:w="0" w:type="dxa"/>
            <w:bottom w:w="0" w:type="dxa"/>
            <w:right w:w="0" w:type="dxa"/>
          </w:tblCellMar>
        </w:tblPrEx>
        <w:trPr>
          <w:trHeight w:val="689" w:hRule="atLeast"/>
          <w:jc w:val="center"/>
        </w:trPr>
        <w:tc>
          <w:tcPr>
            <w:tcW w:w="5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right="0"/>
              <w:jc w:val="left"/>
              <w:textAlignment w:val="center"/>
              <w:rPr>
                <w:rFonts w:hint="default" w:ascii="Times New Roman" w:hAnsi="Times New Roman" w:eastAsia="仿宋_GB2312" w:cs="Times New Roman"/>
                <w:b/>
                <w:i w:val="0"/>
                <w:color w:val="auto"/>
                <w:kern w:val="2"/>
                <w:sz w:val="26"/>
                <w:szCs w:val="26"/>
                <w:highlight w:val="none"/>
              </w:rPr>
            </w:pPr>
            <w:r>
              <w:rPr>
                <w:rFonts w:hint="eastAsia" w:ascii="Times New Roman" w:hAnsi="Times New Roman" w:eastAsia="仿宋_GB2312" w:cs="Times New Roman"/>
                <w:b/>
                <w:i w:val="0"/>
                <w:color w:val="auto"/>
                <w:kern w:val="0"/>
                <w:sz w:val="26"/>
                <w:szCs w:val="26"/>
                <w:highlight w:val="none"/>
                <w:lang w:val="en-US" w:eastAsia="zh-CN" w:bidi="ar"/>
              </w:rPr>
              <w:t xml:space="preserve">  </w:t>
            </w:r>
            <w:r>
              <w:rPr>
                <w:rFonts w:hint="default" w:ascii="Times New Roman" w:hAnsi="Times New Roman" w:eastAsia="仿宋_GB2312" w:cs="Times New Roman"/>
                <w:b/>
                <w:i w:val="0"/>
                <w:color w:val="auto"/>
                <w:kern w:val="0"/>
                <w:sz w:val="26"/>
                <w:szCs w:val="26"/>
                <w:highlight w:val="none"/>
                <w:lang w:val="en-US" w:eastAsia="zh-CN" w:bidi="ar"/>
              </w:rPr>
              <w:t>解决历史遗留问题及改革成本支出</w:t>
            </w:r>
          </w:p>
        </w:tc>
        <w:tc>
          <w:tcPr>
            <w:tcW w:w="85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b/>
                <w:i w:val="0"/>
                <w:color w:val="auto"/>
                <w:kern w:val="2"/>
                <w:sz w:val="26"/>
                <w:szCs w:val="26"/>
                <w:highlight w:val="none"/>
                <w:lang w:val="en-US" w:eastAsia="zh-CN"/>
              </w:rPr>
            </w:pPr>
            <w:r>
              <w:rPr>
                <w:rFonts w:hint="default" w:ascii="Times New Roman" w:hAnsi="Times New Roman" w:eastAsia="仿宋_GB2312" w:cs="Times New Roman"/>
                <w:b/>
                <w:i w:val="0"/>
                <w:color w:val="auto"/>
                <w:kern w:val="2"/>
                <w:sz w:val="26"/>
                <w:szCs w:val="26"/>
                <w:highlight w:val="none"/>
                <w:lang w:val="en-US" w:eastAsia="zh-CN"/>
              </w:rPr>
              <w:t>6</w:t>
            </w:r>
          </w:p>
        </w:tc>
        <w:tc>
          <w:tcPr>
            <w:tcW w:w="100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b/>
                <w:i w:val="0"/>
                <w:color w:val="auto"/>
                <w:kern w:val="2"/>
                <w:sz w:val="26"/>
                <w:szCs w:val="26"/>
                <w:highlight w:val="none"/>
              </w:rPr>
            </w:pPr>
          </w:p>
        </w:tc>
        <w:tc>
          <w:tcPr>
            <w:tcW w:w="10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b/>
                <w:i w:val="0"/>
                <w:color w:val="auto"/>
                <w:kern w:val="2"/>
                <w:sz w:val="26"/>
                <w:szCs w:val="26"/>
                <w:highlight w:val="none"/>
              </w:rPr>
            </w:pPr>
          </w:p>
        </w:tc>
        <w:tc>
          <w:tcPr>
            <w:tcW w:w="90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b/>
                <w:i w:val="0"/>
                <w:color w:val="auto"/>
                <w:kern w:val="2"/>
                <w:sz w:val="26"/>
                <w:szCs w:val="26"/>
                <w:highlight w:val="none"/>
              </w:rPr>
            </w:pPr>
          </w:p>
        </w:tc>
      </w:tr>
      <w:tr>
        <w:tblPrEx>
          <w:tblCellMar>
            <w:top w:w="0" w:type="dxa"/>
            <w:left w:w="0" w:type="dxa"/>
            <w:bottom w:w="0" w:type="dxa"/>
            <w:right w:w="0" w:type="dxa"/>
          </w:tblCellMar>
        </w:tblPrEx>
        <w:trPr>
          <w:trHeight w:val="689" w:hRule="atLeast"/>
          <w:jc w:val="center"/>
        </w:trPr>
        <w:tc>
          <w:tcPr>
            <w:tcW w:w="5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right="0" w:firstLine="520" w:firstLineChars="200"/>
              <w:jc w:val="left"/>
              <w:textAlignment w:val="center"/>
              <w:rPr>
                <w:rFonts w:hint="default" w:ascii="Times New Roman" w:hAnsi="Times New Roman" w:eastAsia="仿宋_GB2312" w:cs="Times New Roman"/>
                <w:i w:val="0"/>
                <w:color w:val="auto"/>
                <w:kern w:val="2"/>
                <w:sz w:val="26"/>
                <w:szCs w:val="26"/>
                <w:highlight w:val="none"/>
              </w:rPr>
            </w:pPr>
            <w:r>
              <w:rPr>
                <w:rFonts w:hint="default" w:ascii="Times New Roman" w:hAnsi="Times New Roman" w:eastAsia="仿宋_GB2312" w:cs="Times New Roman"/>
                <w:i w:val="0"/>
                <w:color w:val="auto"/>
                <w:kern w:val="0"/>
                <w:sz w:val="26"/>
                <w:szCs w:val="26"/>
                <w:highlight w:val="none"/>
                <w:lang w:val="en-US" w:eastAsia="zh-CN" w:bidi="ar"/>
              </w:rPr>
              <w:t>国有企业退休人员社会化管理补助支出</w:t>
            </w:r>
          </w:p>
        </w:tc>
        <w:tc>
          <w:tcPr>
            <w:tcW w:w="85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lang w:val="en-US" w:eastAsia="zh-CN"/>
              </w:rPr>
            </w:pPr>
            <w:r>
              <w:rPr>
                <w:rFonts w:hint="default" w:ascii="Times New Roman" w:hAnsi="Times New Roman" w:eastAsia="仿宋_GB2312" w:cs="Times New Roman"/>
                <w:i w:val="0"/>
                <w:color w:val="auto"/>
                <w:kern w:val="2"/>
                <w:sz w:val="26"/>
                <w:szCs w:val="26"/>
                <w:highlight w:val="none"/>
                <w:lang w:val="en-US" w:eastAsia="zh-CN"/>
              </w:rPr>
              <w:t>6</w:t>
            </w:r>
          </w:p>
        </w:tc>
        <w:tc>
          <w:tcPr>
            <w:tcW w:w="100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c>
          <w:tcPr>
            <w:tcW w:w="10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b/>
                <w:i w:val="0"/>
                <w:color w:val="auto"/>
                <w:kern w:val="2"/>
                <w:sz w:val="26"/>
                <w:szCs w:val="26"/>
                <w:highlight w:val="none"/>
              </w:rPr>
            </w:pPr>
          </w:p>
        </w:tc>
        <w:tc>
          <w:tcPr>
            <w:tcW w:w="90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r>
      <w:tr>
        <w:tblPrEx>
          <w:tblCellMar>
            <w:top w:w="0" w:type="dxa"/>
            <w:left w:w="0" w:type="dxa"/>
            <w:bottom w:w="0" w:type="dxa"/>
            <w:right w:w="0" w:type="dxa"/>
          </w:tblCellMar>
        </w:tblPrEx>
        <w:trPr>
          <w:trHeight w:val="689" w:hRule="atLeast"/>
          <w:jc w:val="center"/>
        </w:trPr>
        <w:tc>
          <w:tcPr>
            <w:tcW w:w="5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right="0"/>
              <w:jc w:val="left"/>
              <w:textAlignment w:val="center"/>
              <w:rPr>
                <w:rFonts w:hint="default" w:ascii="Times New Roman" w:hAnsi="Times New Roman" w:eastAsia="仿宋_GB2312" w:cs="Times New Roman"/>
                <w:i w:val="0"/>
                <w:color w:val="auto"/>
                <w:kern w:val="2"/>
                <w:sz w:val="26"/>
                <w:szCs w:val="26"/>
                <w:highlight w:val="none"/>
              </w:rPr>
            </w:pPr>
            <w:r>
              <w:rPr>
                <w:rFonts w:hint="eastAsia" w:ascii="Times New Roman" w:hAnsi="Times New Roman" w:eastAsia="仿宋_GB2312" w:cs="Times New Roman"/>
                <w:b/>
                <w:i w:val="0"/>
                <w:color w:val="auto"/>
                <w:kern w:val="0"/>
                <w:sz w:val="26"/>
                <w:szCs w:val="26"/>
                <w:highlight w:val="none"/>
                <w:lang w:val="en-US" w:eastAsia="zh-CN" w:bidi="ar"/>
              </w:rPr>
              <w:t xml:space="preserve">  </w:t>
            </w:r>
            <w:r>
              <w:rPr>
                <w:rFonts w:hint="default" w:ascii="Times New Roman" w:hAnsi="Times New Roman" w:eastAsia="仿宋_GB2312" w:cs="Times New Roman"/>
                <w:b/>
                <w:i w:val="0"/>
                <w:color w:val="auto"/>
                <w:kern w:val="0"/>
                <w:sz w:val="26"/>
                <w:szCs w:val="26"/>
                <w:highlight w:val="none"/>
                <w:lang w:val="en-US" w:eastAsia="zh-CN" w:bidi="ar"/>
              </w:rPr>
              <w:t>其他国有资本经营预算支出</w:t>
            </w:r>
          </w:p>
        </w:tc>
        <w:tc>
          <w:tcPr>
            <w:tcW w:w="85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right="0"/>
              <w:jc w:val="right"/>
              <w:textAlignment w:val="center"/>
              <w:rPr>
                <w:rFonts w:hint="default" w:ascii="Times New Roman" w:hAnsi="Times New Roman" w:eastAsia="仿宋_GB2312" w:cs="Times New Roman"/>
                <w:i w:val="0"/>
                <w:color w:val="auto"/>
                <w:kern w:val="2"/>
                <w:sz w:val="26"/>
                <w:szCs w:val="26"/>
                <w:highlight w:val="none"/>
                <w:lang w:val="en-US" w:eastAsia="zh-CN"/>
              </w:rPr>
            </w:pPr>
            <w:r>
              <w:rPr>
                <w:rFonts w:hint="default" w:ascii="Times New Roman" w:hAnsi="Times New Roman" w:eastAsia="仿宋_GB2312" w:cs="Times New Roman"/>
                <w:b/>
                <w:bCs/>
                <w:i w:val="0"/>
                <w:color w:val="auto"/>
                <w:kern w:val="2"/>
                <w:sz w:val="26"/>
                <w:szCs w:val="26"/>
                <w:highlight w:val="none"/>
                <w:lang w:val="en-US" w:eastAsia="zh-CN"/>
              </w:rPr>
              <w:t>1400</w:t>
            </w:r>
          </w:p>
        </w:tc>
        <w:tc>
          <w:tcPr>
            <w:tcW w:w="100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c>
          <w:tcPr>
            <w:tcW w:w="10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c>
          <w:tcPr>
            <w:tcW w:w="90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r>
      <w:tr>
        <w:tblPrEx>
          <w:tblCellMar>
            <w:top w:w="0" w:type="dxa"/>
            <w:left w:w="0" w:type="dxa"/>
            <w:bottom w:w="0" w:type="dxa"/>
            <w:right w:w="0" w:type="dxa"/>
          </w:tblCellMar>
        </w:tblPrEx>
        <w:trPr>
          <w:trHeight w:val="712" w:hRule="atLeast"/>
          <w:jc w:val="center"/>
        </w:trPr>
        <w:tc>
          <w:tcPr>
            <w:tcW w:w="50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right="0"/>
              <w:jc w:val="left"/>
              <w:textAlignment w:val="center"/>
              <w:rPr>
                <w:rFonts w:hint="default" w:ascii="Times New Roman" w:hAnsi="Times New Roman" w:eastAsia="仿宋_GB2312" w:cs="Times New Roman"/>
                <w:i w:val="0"/>
                <w:color w:val="auto"/>
                <w:kern w:val="2"/>
                <w:sz w:val="26"/>
                <w:szCs w:val="26"/>
                <w:highlight w:val="none"/>
              </w:rPr>
            </w:pPr>
            <w:r>
              <w:rPr>
                <w:rFonts w:hint="eastAsia" w:ascii="Times New Roman" w:hAnsi="Times New Roman" w:eastAsia="仿宋_GB2312" w:cs="Times New Roman"/>
                <w:i w:val="0"/>
                <w:color w:val="auto"/>
                <w:kern w:val="0"/>
                <w:sz w:val="26"/>
                <w:szCs w:val="26"/>
                <w:highlight w:val="none"/>
                <w:lang w:val="en-US" w:eastAsia="zh-CN" w:bidi="ar"/>
              </w:rPr>
              <w:t xml:space="preserve">    </w:t>
            </w:r>
            <w:r>
              <w:rPr>
                <w:rFonts w:hint="default" w:ascii="Times New Roman" w:hAnsi="Times New Roman" w:eastAsia="仿宋_GB2312" w:cs="Times New Roman"/>
                <w:i w:val="0"/>
                <w:color w:val="auto"/>
                <w:kern w:val="0"/>
                <w:sz w:val="26"/>
                <w:szCs w:val="26"/>
                <w:highlight w:val="none"/>
                <w:lang w:val="en-US" w:eastAsia="zh-CN" w:bidi="ar"/>
              </w:rPr>
              <w:t>其他国有资本经营预算支出</w:t>
            </w:r>
          </w:p>
        </w:tc>
        <w:tc>
          <w:tcPr>
            <w:tcW w:w="85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Lines="0" w:beforeAutospacing="0" w:after="0" w:afterLines="0" w:afterAutospacing="0" w:line="400" w:lineRule="exact"/>
              <w:ind w:left="0" w:right="0"/>
              <w:jc w:val="right"/>
              <w:textAlignment w:val="center"/>
              <w:rPr>
                <w:rFonts w:hint="default" w:ascii="Times New Roman" w:hAnsi="Times New Roman" w:eastAsia="仿宋_GB2312" w:cs="Times New Roman"/>
                <w:i w:val="0"/>
                <w:color w:val="auto"/>
                <w:kern w:val="2"/>
                <w:sz w:val="26"/>
                <w:szCs w:val="26"/>
                <w:highlight w:val="none"/>
                <w:lang w:val="en-US" w:eastAsia="zh-CN"/>
              </w:rPr>
            </w:pPr>
            <w:r>
              <w:rPr>
                <w:rFonts w:hint="default" w:ascii="Times New Roman" w:hAnsi="Times New Roman" w:eastAsia="仿宋_GB2312" w:cs="Times New Roman"/>
                <w:i w:val="0"/>
                <w:color w:val="auto"/>
                <w:kern w:val="2"/>
                <w:sz w:val="26"/>
                <w:szCs w:val="26"/>
                <w:highlight w:val="none"/>
                <w:lang w:val="en-US" w:eastAsia="zh-CN"/>
              </w:rPr>
              <w:t>1400</w:t>
            </w:r>
          </w:p>
        </w:tc>
        <w:tc>
          <w:tcPr>
            <w:tcW w:w="1007"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c>
          <w:tcPr>
            <w:tcW w:w="10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c>
          <w:tcPr>
            <w:tcW w:w="90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spacing w:before="0" w:beforeLines="0" w:beforeAutospacing="0" w:after="0" w:afterLines="0" w:afterAutospacing="0" w:line="400" w:lineRule="exact"/>
              <w:ind w:left="0" w:right="0"/>
              <w:jc w:val="right"/>
              <w:rPr>
                <w:rFonts w:hint="default" w:ascii="Times New Roman" w:hAnsi="Times New Roman" w:eastAsia="仿宋_GB2312" w:cs="Times New Roman"/>
                <w:i w:val="0"/>
                <w:color w:val="auto"/>
                <w:kern w:val="2"/>
                <w:sz w:val="26"/>
                <w:szCs w:val="26"/>
                <w:highlight w:val="none"/>
              </w:rPr>
            </w:pPr>
          </w:p>
        </w:tc>
      </w:tr>
    </w:tbl>
    <w:p>
      <w:pPr>
        <w:rPr>
          <w:rFonts w:hint="default" w:ascii="Times New Roman" w:hAnsi="Times New Roman" w:cs="Times New Roman"/>
          <w:color w:val="auto"/>
        </w:rPr>
      </w:pPr>
    </w:p>
    <w:sectPr>
      <w:headerReference r:id="rId3" w:type="default"/>
      <w:footerReference r:id="rId4" w:type="default"/>
      <w:pgSz w:w="11906" w:h="16838"/>
      <w:pgMar w:top="2211" w:right="1531" w:bottom="1871" w:left="1531"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t>1</w:t>
                          </w:r>
                          <w:r>
                            <w:rPr>
                              <w:rFonts w:hint="default" w:ascii="Times New Roman" w:hAnsi="Times New Roman" w:cs="Times New Roman"/>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2"/>
                        <w:szCs w:val="22"/>
                        <w:lang w:eastAsia="zh-CN"/>
                      </w:rPr>
                    </w:pPr>
                    <w:r>
                      <w:rPr>
                        <w:rFonts w:hint="default" w:ascii="Times New Roman" w:hAnsi="Times New Roman" w:cs="Times New Roman"/>
                        <w:sz w:val="22"/>
                        <w:szCs w:val="22"/>
                        <w:lang w:eastAsia="zh-CN"/>
                      </w:rPr>
                      <w:fldChar w:fldCharType="begin"/>
                    </w:r>
                    <w:r>
                      <w:rPr>
                        <w:rFonts w:hint="default" w:ascii="Times New Roman" w:hAnsi="Times New Roman" w:cs="Times New Roman"/>
                        <w:sz w:val="22"/>
                        <w:szCs w:val="22"/>
                        <w:lang w:eastAsia="zh-CN"/>
                      </w:rPr>
                      <w:instrText xml:space="preserve"> PAGE  \* MERGEFORMAT </w:instrText>
                    </w:r>
                    <w:r>
                      <w:rPr>
                        <w:rFonts w:hint="default" w:ascii="Times New Roman" w:hAnsi="Times New Roman" w:cs="Times New Roman"/>
                        <w:sz w:val="22"/>
                        <w:szCs w:val="22"/>
                        <w:lang w:eastAsia="zh-CN"/>
                      </w:rPr>
                      <w:fldChar w:fldCharType="separate"/>
                    </w:r>
                    <w:r>
                      <w:t>1</w:t>
                    </w:r>
                    <w:r>
                      <w:rPr>
                        <w:rFonts w:hint="default" w:ascii="Times New Roman" w:hAnsi="Times New Roman" w:cs="Times New Roman"/>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84FA9"/>
    <w:multiLevelType w:val="singleLevel"/>
    <w:tmpl w:val="D6384FA9"/>
    <w:lvl w:ilvl="0" w:tentative="0">
      <w:start w:val="3"/>
      <w:numFmt w:val="chineseCounting"/>
      <w:suff w:val="nothing"/>
      <w:lvlText w:val="（%1）"/>
      <w:lvlJc w:val="left"/>
      <w:rPr>
        <w:rFonts w:hint="eastAsia"/>
      </w:rPr>
    </w:lvl>
  </w:abstractNum>
  <w:abstractNum w:abstractNumId="1">
    <w:nsid w:val="60F531BD"/>
    <w:multiLevelType w:val="singleLevel"/>
    <w:tmpl w:val="60F531BD"/>
    <w:lvl w:ilvl="0" w:tentative="0">
      <w:start w:val="2"/>
      <w:numFmt w:val="chineseCounting"/>
      <w:suff w:val="nothing"/>
      <w:lvlText w:val="%1、"/>
      <w:lvlJc w:val="left"/>
    </w:lvl>
  </w:abstractNum>
  <w:abstractNum w:abstractNumId="2">
    <w:nsid w:val="60F53268"/>
    <w:multiLevelType w:val="singleLevel"/>
    <w:tmpl w:val="60F53268"/>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8331D"/>
    <w:rsid w:val="00011C06"/>
    <w:rsid w:val="000178F9"/>
    <w:rsid w:val="0013072F"/>
    <w:rsid w:val="001A607A"/>
    <w:rsid w:val="001B5291"/>
    <w:rsid w:val="001E2DF0"/>
    <w:rsid w:val="00347938"/>
    <w:rsid w:val="00364A16"/>
    <w:rsid w:val="00394CDE"/>
    <w:rsid w:val="004155AF"/>
    <w:rsid w:val="00415CBA"/>
    <w:rsid w:val="00452D3C"/>
    <w:rsid w:val="00507B66"/>
    <w:rsid w:val="005411F0"/>
    <w:rsid w:val="005B295E"/>
    <w:rsid w:val="00684968"/>
    <w:rsid w:val="006B2902"/>
    <w:rsid w:val="006B61AD"/>
    <w:rsid w:val="00741CD3"/>
    <w:rsid w:val="007D0A34"/>
    <w:rsid w:val="007E3883"/>
    <w:rsid w:val="00840E9B"/>
    <w:rsid w:val="008B2AA8"/>
    <w:rsid w:val="009024C0"/>
    <w:rsid w:val="00952320"/>
    <w:rsid w:val="0096057B"/>
    <w:rsid w:val="00960906"/>
    <w:rsid w:val="00A9035C"/>
    <w:rsid w:val="00B07807"/>
    <w:rsid w:val="00B71006"/>
    <w:rsid w:val="00B76421"/>
    <w:rsid w:val="00BF53D9"/>
    <w:rsid w:val="00CD0420"/>
    <w:rsid w:val="00CD5EE2"/>
    <w:rsid w:val="00CE2E7D"/>
    <w:rsid w:val="00CF348E"/>
    <w:rsid w:val="00CF4BD5"/>
    <w:rsid w:val="00D77893"/>
    <w:rsid w:val="00DC42A1"/>
    <w:rsid w:val="00E315B1"/>
    <w:rsid w:val="00E70466"/>
    <w:rsid w:val="00EA434A"/>
    <w:rsid w:val="00F678A1"/>
    <w:rsid w:val="00FB5F32"/>
    <w:rsid w:val="01397055"/>
    <w:rsid w:val="015218DE"/>
    <w:rsid w:val="020D28E4"/>
    <w:rsid w:val="03E37CED"/>
    <w:rsid w:val="0400181C"/>
    <w:rsid w:val="047732A4"/>
    <w:rsid w:val="04CC529F"/>
    <w:rsid w:val="061E541A"/>
    <w:rsid w:val="08A72D5E"/>
    <w:rsid w:val="09686D7A"/>
    <w:rsid w:val="0B3154DE"/>
    <w:rsid w:val="0DA27DC3"/>
    <w:rsid w:val="0ED30DE0"/>
    <w:rsid w:val="0F196CE4"/>
    <w:rsid w:val="0FCA72FE"/>
    <w:rsid w:val="109E1B78"/>
    <w:rsid w:val="116073B2"/>
    <w:rsid w:val="12CC5682"/>
    <w:rsid w:val="145D7C0B"/>
    <w:rsid w:val="15D53F47"/>
    <w:rsid w:val="15FB759E"/>
    <w:rsid w:val="17982843"/>
    <w:rsid w:val="17AF61A2"/>
    <w:rsid w:val="1AE14D60"/>
    <w:rsid w:val="1AF45479"/>
    <w:rsid w:val="1B797F1F"/>
    <w:rsid w:val="1DD63602"/>
    <w:rsid w:val="1F8E2953"/>
    <w:rsid w:val="1FB151FC"/>
    <w:rsid w:val="202F1FCC"/>
    <w:rsid w:val="204E08AF"/>
    <w:rsid w:val="20A11517"/>
    <w:rsid w:val="2399789B"/>
    <w:rsid w:val="245D2237"/>
    <w:rsid w:val="268166B9"/>
    <w:rsid w:val="268C65B8"/>
    <w:rsid w:val="26FB0DA9"/>
    <w:rsid w:val="2C9A7238"/>
    <w:rsid w:val="2D2E332F"/>
    <w:rsid w:val="2E304DEB"/>
    <w:rsid w:val="2E9D6A09"/>
    <w:rsid w:val="2FF56722"/>
    <w:rsid w:val="30C54688"/>
    <w:rsid w:val="30D3141F"/>
    <w:rsid w:val="310C689C"/>
    <w:rsid w:val="339C35B9"/>
    <w:rsid w:val="33B20FDF"/>
    <w:rsid w:val="33C9583E"/>
    <w:rsid w:val="34057765"/>
    <w:rsid w:val="343E5898"/>
    <w:rsid w:val="36012FB2"/>
    <w:rsid w:val="370D2F60"/>
    <w:rsid w:val="3763266A"/>
    <w:rsid w:val="384465BE"/>
    <w:rsid w:val="39E540C7"/>
    <w:rsid w:val="3A052C3D"/>
    <w:rsid w:val="3B5D44F4"/>
    <w:rsid w:val="3BAF620A"/>
    <w:rsid w:val="3CD13612"/>
    <w:rsid w:val="3E274250"/>
    <w:rsid w:val="40D24565"/>
    <w:rsid w:val="40F83578"/>
    <w:rsid w:val="42795705"/>
    <w:rsid w:val="42C6151D"/>
    <w:rsid w:val="4321245F"/>
    <w:rsid w:val="454A1659"/>
    <w:rsid w:val="45D31639"/>
    <w:rsid w:val="46671B42"/>
    <w:rsid w:val="479878BE"/>
    <w:rsid w:val="486451C9"/>
    <w:rsid w:val="48DD7041"/>
    <w:rsid w:val="49D539C7"/>
    <w:rsid w:val="4AD80101"/>
    <w:rsid w:val="4AEB30CC"/>
    <w:rsid w:val="4B322D8A"/>
    <w:rsid w:val="4B332DDB"/>
    <w:rsid w:val="4BF22C5F"/>
    <w:rsid w:val="4C123ACE"/>
    <w:rsid w:val="4D4F5E0F"/>
    <w:rsid w:val="4F080938"/>
    <w:rsid w:val="4F5E6C9C"/>
    <w:rsid w:val="4FB90469"/>
    <w:rsid w:val="4FCD4F5C"/>
    <w:rsid w:val="508B2D59"/>
    <w:rsid w:val="51E302F0"/>
    <w:rsid w:val="52B2045D"/>
    <w:rsid w:val="53653760"/>
    <w:rsid w:val="53A372DB"/>
    <w:rsid w:val="55916C3A"/>
    <w:rsid w:val="55CE78DF"/>
    <w:rsid w:val="56E46B9A"/>
    <w:rsid w:val="575C4AFE"/>
    <w:rsid w:val="57CD239A"/>
    <w:rsid w:val="58D376CA"/>
    <w:rsid w:val="58FE67B7"/>
    <w:rsid w:val="5A6030B8"/>
    <w:rsid w:val="5C2F70CC"/>
    <w:rsid w:val="5D1433D4"/>
    <w:rsid w:val="5DC44F64"/>
    <w:rsid w:val="61173249"/>
    <w:rsid w:val="61A62640"/>
    <w:rsid w:val="63417E63"/>
    <w:rsid w:val="635915B5"/>
    <w:rsid w:val="643B39FA"/>
    <w:rsid w:val="64B33B5E"/>
    <w:rsid w:val="64F40B2E"/>
    <w:rsid w:val="65031149"/>
    <w:rsid w:val="65B91D51"/>
    <w:rsid w:val="65ED02E6"/>
    <w:rsid w:val="67A34B94"/>
    <w:rsid w:val="67C25449"/>
    <w:rsid w:val="68DF6A77"/>
    <w:rsid w:val="6A605D12"/>
    <w:rsid w:val="6AA71D09"/>
    <w:rsid w:val="6ABB2BA8"/>
    <w:rsid w:val="6B276782"/>
    <w:rsid w:val="6B9503FC"/>
    <w:rsid w:val="6BD10716"/>
    <w:rsid w:val="6CBD64D2"/>
    <w:rsid w:val="6CED1BC3"/>
    <w:rsid w:val="70AB3BE8"/>
    <w:rsid w:val="7398331D"/>
    <w:rsid w:val="74FC3FE1"/>
    <w:rsid w:val="760F187B"/>
    <w:rsid w:val="76E34219"/>
    <w:rsid w:val="77C64474"/>
    <w:rsid w:val="7BED3460"/>
    <w:rsid w:val="7D96392C"/>
    <w:rsid w:val="7E0F43DF"/>
    <w:rsid w:val="7E490A4F"/>
    <w:rsid w:val="7F4230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w:basedOn w:val="1"/>
    <w:qFormat/>
    <w:uiPriority w:val="0"/>
    <w:rPr>
      <w:rFonts w:ascii="仿宋" w:hAnsi="仿宋" w:eastAsia="仿宋" w:cs="仿宋"/>
      <w:sz w:val="34"/>
      <w:szCs w:val="34"/>
      <w:lang w:val="zh-CN" w:bidi="zh-CN"/>
    </w:rPr>
  </w:style>
  <w:style w:type="paragraph" w:styleId="4">
    <w:name w:val="endnote text"/>
    <w:basedOn w:val="1"/>
    <w:qFormat/>
    <w:uiPriority w:val="0"/>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pPr>
    <w:rPr>
      <w:rFonts w:ascii="Times New Roman" w:hAnsi="Times New Roman" w:eastAsia="宋体" w:cs="Times New Roman"/>
      <w:sz w:val="18"/>
      <w:szCs w:val="18"/>
    </w:rPr>
  </w:style>
  <w:style w:type="paragraph" w:styleId="9">
    <w:name w:val="Normal (Web)"/>
    <w:basedOn w:val="1"/>
    <w:qFormat/>
    <w:uiPriority w:val="0"/>
    <w:pPr>
      <w:spacing w:before="100" w:beforeAutospacing="1" w:after="100" w:afterAutospacing="1"/>
      <w:jc w:val="left"/>
    </w:pPr>
    <w:rPr>
      <w:rFonts w:cs="Times New Roman"/>
      <w:kern w:val="0"/>
      <w:sz w:val="24"/>
    </w:rPr>
  </w:style>
  <w:style w:type="character" w:styleId="12">
    <w:name w:val="FollowedHyperlink"/>
    <w:basedOn w:val="11"/>
    <w:qFormat/>
    <w:uiPriority w:val="0"/>
    <w:rPr>
      <w:color w:val="800080"/>
      <w:u w:val="none"/>
    </w:rPr>
  </w:style>
  <w:style w:type="character" w:styleId="13">
    <w:name w:val="Emphasis"/>
    <w:basedOn w:val="11"/>
    <w:qFormat/>
    <w:uiPriority w:val="0"/>
  </w:style>
  <w:style w:type="character" w:styleId="14">
    <w:name w:val="Hyperlink"/>
    <w:basedOn w:val="11"/>
    <w:qFormat/>
    <w:uiPriority w:val="0"/>
    <w:rPr>
      <w:color w:val="0000FF"/>
      <w:u w:val="none"/>
    </w:rPr>
  </w:style>
  <w:style w:type="paragraph" w:customStyle="1" w:styleId="15">
    <w:name w:val="p0"/>
    <w:basedOn w:val="1"/>
    <w:qFormat/>
    <w:uiPriority w:val="0"/>
    <w:pPr>
      <w:widowControl/>
    </w:pPr>
    <w:rPr>
      <w:sz w:val="32"/>
      <w:szCs w:val="20"/>
    </w:rPr>
  </w:style>
  <w:style w:type="character" w:customStyle="1" w:styleId="16">
    <w:name w:val="页眉 Char"/>
    <w:basedOn w:val="11"/>
    <w:link w:val="7"/>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0"/>
    <w:rPr>
      <w:rFonts w:asciiTheme="minorHAnsi" w:hAnsiTheme="minorHAnsi" w:eastAsiaTheme="minorEastAsia" w:cstheme="minorBidi"/>
      <w:kern w:val="2"/>
      <w:sz w:val="18"/>
      <w:szCs w:val="18"/>
    </w:rPr>
  </w:style>
  <w:style w:type="paragraph" w:customStyle="1" w:styleId="18">
    <w:name w:val="列出段落1"/>
    <w:basedOn w:val="1"/>
    <w:unhideWhenUsed/>
    <w:qFormat/>
    <w:uiPriority w:val="99"/>
    <w:pPr>
      <w:ind w:firstLine="420" w:firstLineChars="200"/>
    </w:pPr>
  </w:style>
  <w:style w:type="character" w:customStyle="1" w:styleId="19">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20">
    <w:name w:val="index-module_accountauthentication_3bwix"/>
    <w:basedOn w:val="11"/>
    <w:qFormat/>
    <w:uiPriority w:val="0"/>
  </w:style>
  <w:style w:type="character" w:customStyle="1" w:styleId="21">
    <w:name w:val="font21"/>
    <w:basedOn w:val="11"/>
    <w:qFormat/>
    <w:uiPriority w:val="0"/>
    <w:rPr>
      <w:rFonts w:hint="eastAsia" w:ascii="宋体" w:hAnsi="宋体" w:eastAsia="宋体" w:cs="宋体"/>
      <w:color w:val="000000"/>
      <w:sz w:val="24"/>
      <w:szCs w:val="24"/>
      <w:u w:val="none"/>
    </w:r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31"/>
    <w:basedOn w:val="11"/>
    <w:qFormat/>
    <w:uiPriority w:val="0"/>
    <w:rPr>
      <w:rFonts w:hint="default" w:ascii="Times New Roman" w:hAnsi="Times New Roman" w:cs="Times New Roman"/>
      <w:b/>
      <w:color w:val="000000"/>
      <w:sz w:val="20"/>
      <w:szCs w:val="20"/>
      <w:u w:val="none"/>
    </w:rPr>
  </w:style>
  <w:style w:type="character" w:customStyle="1" w:styleId="24">
    <w:name w:val="font01"/>
    <w:basedOn w:val="11"/>
    <w:qFormat/>
    <w:uiPriority w:val="0"/>
    <w:rPr>
      <w:rFonts w:ascii="黑体" w:hAnsi="宋体" w:eastAsia="黑体" w:cs="黑体"/>
      <w:b/>
      <w:color w:val="FF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494</Words>
  <Characters>2820</Characters>
  <Lines>23</Lines>
  <Paragraphs>6</Paragraphs>
  <TotalTime>1</TotalTime>
  <ScaleCrop>false</ScaleCrop>
  <LinksUpToDate>false</LinksUpToDate>
  <CharactersWithSpaces>3308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2020-06-09T06:33:00Z</dcterms:created>
  <dc:creator>Root</dc:creator>
  <cp:lastModifiedBy>西门文印1</cp:lastModifiedBy>
  <cp:lastPrinted>2021-07-22T07:47:00Z</cp:lastPrinted>
  <dcterms:modified xsi:type="dcterms:W3CDTF">2021-07-25T02:26:47Z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6DBA00E03C8E44F9927A348DBB9BFD82</vt:lpwstr>
  </property>
</Properties>
</file>