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  <w:lang w:val="zh-TW" w:eastAsia="zh-TW"/>
        </w:rPr>
        <w:t>附件</w:t>
      </w:r>
      <w:r>
        <w:rPr>
          <w:rFonts w:ascii="Times New Roman" w:hAnsi="Times New Roman"/>
          <w:b/>
          <w:bCs/>
          <w:sz w:val="28"/>
          <w:szCs w:val="28"/>
        </w:rPr>
        <w:t>1</w:t>
      </w:r>
      <w:bookmarkStart w:id="0" w:name="_GoBack"/>
      <w:bookmarkEnd w:id="0"/>
    </w:p>
    <w:p>
      <w:pPr>
        <w:spacing w:line="540" w:lineRule="exact"/>
        <w:jc w:val="center"/>
        <w:rPr>
          <w:rFonts w:hint="eastAsia" w:ascii="Times New Roman" w:hAnsi="Times New Roman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  <w:t>常山县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  <w:t>英才荟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Hans"/>
        </w:rPr>
        <w:t>紧缺急需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  <w:t>人才招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/>
        </w:rPr>
        <w:t>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  <w:t>计划表</w:t>
      </w:r>
    </w:p>
    <w:tbl>
      <w:tblPr>
        <w:tblStyle w:val="5"/>
        <w:tblW w:w="9555" w:type="dxa"/>
        <w:tblInd w:w="-283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005"/>
        <w:gridCol w:w="1770"/>
        <w:gridCol w:w="5115"/>
        <w:gridCol w:w="100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岗位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学历要求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专业及其他要求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计划数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bCs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城建规划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en-US" w:eastAsia="zh-CN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CN"/>
              </w:rPr>
              <w:t>具有“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  <w:t>双一流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  <w:t>高校全日制本科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CN"/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  <w:t>且取得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CN"/>
              </w:rPr>
              <w:t>相应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  <w:t>学位的毕业生；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CN"/>
              </w:rPr>
              <w:t>位列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  <w:t>ARWU、THE、U.S.News、QS世界大学排名最新榜单前300名的国（境）外高校全日制本科及以上学历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  <w:t>且取得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CN"/>
              </w:rPr>
              <w:t>相应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  <w:t>学位的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  <w:t>毕业生；</w:t>
            </w:r>
          </w:p>
          <w:p>
            <w:pPr>
              <w:widowControl/>
              <w:spacing w:line="26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  <w:t>普通高校全日制研究生且取得硕士及以上学位的毕业生。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土木工程、工程造价、建筑学、水利水电工程、智慧建筑与建造</w:t>
            </w:r>
          </w:p>
          <w:p>
            <w:pPr>
              <w:widowControl/>
              <w:spacing w:line="260" w:lineRule="exact"/>
              <w:jc w:val="both"/>
              <w:rPr>
                <w:rFonts w:hint="default" w:ascii="仿宋_GB2312" w:hAnsi="仿宋_GB2312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en-US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  <w:t>土木工程、建设工程管理、建筑学、水利水电建设与管理、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智慧城市建造与管理</w:t>
            </w:r>
            <w:r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  <w:t xml:space="preserve">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城建规划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en-US" w:eastAsia="zh-CN"/>
              </w:rPr>
              <w:t>2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lang w:val="zh-TW" w:eastAsia="zh-TW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园林、风景园林、城乡规划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风景园林学、园林艺术设计、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城市设计及其理论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城市规划与设计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Arial Unicode MS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bCs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交通工程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交通运输、交通工程、交通设备与控制工程、港口航道与海岸工程、船舶与海洋工程、道路桥梁与渡河工程、能源与动力工程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交通安全与工程管理、交通运输工程、交通运输规划、港口、海岸及近海工程、桥梁与隧道工程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Arial Unicode MS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3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Arial Unicode MS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bCs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农业资源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en-US" w:eastAsia="zh-CN"/>
              </w:rPr>
              <w:t>1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 xml:space="preserve">中药学、中药资源与开发、中药制药、中草药栽培与鉴定、植物保护、植物科学与技术      </w:t>
            </w:r>
            <w:r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  <w:t xml:space="preserve">                    </w:t>
            </w:r>
          </w:p>
          <w:p>
            <w:pPr>
              <w:widowControl/>
              <w:spacing w:line="260" w:lineRule="exact"/>
              <w:jc w:val="both"/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中药学、生药学、药剂学、生物化学与分子生物学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</w:rPr>
              <w:t>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Arial Unicode MS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bCs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农业资源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en-US" w:eastAsia="zh-CN"/>
              </w:rPr>
              <w:t>2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 xml:space="preserve">地理科学类、农业经济管理类           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农林经济管理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</w:rPr>
              <w:t>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Arial Unicode MS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林水资源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en-US" w:eastAsia="zh-CN"/>
              </w:rPr>
              <w:t>1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lang w:val="zh-TW" w:eastAsia="zh-TW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 xml:space="preserve">林学，森林工程，食品科学与工程         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林学，经济林学，粮食、油脂及植物蛋白工程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Arial Unicode MS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林水资源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en-US" w:eastAsia="zh-CN"/>
              </w:rPr>
              <w:t>2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地质学类、野生动物与自然保护区管理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水文与水资源工程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水土保持与荒漠化防治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地质学类、自然保护区学 、生态学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水土保持工程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水土保持与荒漠化防治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土地资源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en-US" w:eastAsia="zh-CN"/>
              </w:rPr>
              <w:t>1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 xml:space="preserve">地理信息科学、自然地理与资源环境、地理科学、土地资源管理、遥感科学与技术         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地图学与地理信息系统、资源环境与遥感信息、地球系统科学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土地资源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en-US" w:eastAsia="zh-CN"/>
              </w:rPr>
              <w:t>2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 xml:space="preserve">地质工程、资源勘查工程、地下水科学与工程、采矿工程、矿物资源工程                   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地质工程、地质资源与地质工程、矿产普查与勘探、水文学与水资源、资源与环境遥感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数字经济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计算机类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计算机科学与技术类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tabs>
                <w:tab w:val="left" w:pos="210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经济管理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经济统计学、经济工程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金融学、金融工程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数字经济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大数据金融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发展经济学、金融学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、金融工程学、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管理经济学、企业经济学、产业经济学、经济大数据分析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商业大数据分析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检验检定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分子科学与工程、生物科学、测控技术与仪器、精密仪器、食品安全与检测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生物资源化学、精密仪器及机械、仪器科学与技术、食品生物技术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Calibri" w:hAnsi="Calibri" w:eastAsia="Arial Unicode MS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:lang w:val="zh-TW" w:eastAsia="zh-CN" w:bidi="ar-SA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思想政治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Calibri" w:hAnsi="Calibri" w:eastAsia="Arial Unicode MS" w:cs="Arial Unicode MS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  <w:t>普通高校全日制研究生且取得硕士及以上学位的毕业生。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马克思主义哲学、哲学、政治学、思想政治教育、中共党史、马克思主义中国化研究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Arial Unicode MS" w:cs="Times New Roman"/>
                <w:b/>
                <w:bCs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Arial Unicode MS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文化艺术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  <w:t>1.</w:t>
            </w:r>
            <w:r>
              <w:rPr>
                <w:rFonts w:ascii="仿宋_GB2312" w:hAnsi="仿宋_GB2312" w:eastAsia="仿宋_GB2312" w:cs="仿宋_GB2312"/>
                <w:kern w:val="0"/>
              </w:rPr>
              <w:t>“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双一流</w:t>
            </w:r>
            <w:r>
              <w:rPr>
                <w:rFonts w:ascii="仿宋_GB2312" w:hAnsi="仿宋_GB2312" w:eastAsia="仿宋_GB2312" w:cs="仿宋_GB2312"/>
                <w:kern w:val="0"/>
              </w:rPr>
              <w:t>”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建设高校相关专业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中国传媒大学、浙江传媒学院、山西传媒学院、中国传媒大学南广学院的全日制普通高校本科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及以上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学历且取得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相应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学位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的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毕业生；</w:t>
            </w:r>
          </w:p>
          <w:p>
            <w:pPr>
              <w:widowControl/>
              <w:spacing w:line="260" w:lineRule="exact"/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  <w:t>2.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全日制普通高校研究生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及以上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学历且取得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相应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学位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的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毕业生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。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网络与新媒体、影视摄影与制作、数字媒体艺术、视觉传达设计、广播电视编导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Arial Unicode MS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高层次</w:t>
            </w:r>
          </w:p>
          <w:p>
            <w:pPr>
              <w:widowControl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人才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  <w:t>1.“C9联盟”高校全日制本科及以上学历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  <w:t>且取得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CN"/>
              </w:rPr>
              <w:t>相应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  <w:t>学位的毕业生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  <w:t>；</w:t>
            </w:r>
          </w:p>
          <w:p>
            <w:pPr>
              <w:widowControl/>
              <w:spacing w:line="260" w:lineRule="exact"/>
              <w:jc w:val="left"/>
              <w:rPr>
                <w:rFonts w:hint="eastAsia"/>
                <w:color w:val="auto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CN"/>
              </w:rPr>
              <w:t>具有“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  <w:t>双一流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  <w:t>高校全日制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  <w:t>且取得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及以上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学历且取得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相应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学位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的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毕业生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both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CN"/>
              </w:rPr>
              <w:t>位列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  <w:t>ARWU、THE、U.S.News、QS世界大学排名最新榜单前300名的国（境）外高校全日制硕士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及以上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学历且取得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相应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学位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的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毕业生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  <w:t>。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不限专业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  <w:t>0</w:t>
            </w:r>
          </w:p>
        </w:tc>
      </w:tr>
    </w:tbl>
    <w:p/>
    <w:sectPr>
      <w:pgSz w:w="11906" w:h="16838"/>
      <w:pgMar w:top="1213" w:right="1463" w:bottom="121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F2DD8"/>
    <w:rsid w:val="3A53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Arial Unicode MS" w:cs="Arial Unicode MS"/>
      <w:b/>
      <w:bCs/>
      <w:color w:val="000000"/>
      <w:kern w:val="44"/>
      <w:sz w:val="44"/>
      <w:szCs w:val="44"/>
      <w:u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2022-03-01T06:46:00Z</dcterms:created>
  <dc:creator>Administrator</dc:creator>
  <cp:lastModifiedBy>Administrator</cp:lastModifiedBy>
  <cp:lastPrinted>2022-03-02T02:18:27Z</cp:lastPrinted>
  <dcterms:modified xsi:type="dcterms:W3CDTF">2022-03-02T03:54:29Z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