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BD" w:rsidRDefault="007B3CFF">
      <w:pPr>
        <w:widowControl/>
        <w:ind w:leftChars="50" w:left="105" w:rightChars="50" w:right="105"/>
        <w:textAlignment w:val="center"/>
        <w:rPr>
          <w:rFonts w:ascii="方正小标宋简体" w:eastAsia="方正小标宋简体" w:hAnsi="方正小标宋简体" w:cs="方正小标宋简体"/>
          <w:kern w:val="0"/>
          <w:sz w:val="44"/>
          <w:szCs w:val="44"/>
          <w:lang/>
        </w:rPr>
      </w:pPr>
      <w:r>
        <w:rPr>
          <w:rFonts w:ascii="方正小标宋简体" w:eastAsia="方正小标宋简体" w:hAnsi="方正小标宋简体" w:cs="方正小标宋简体" w:hint="eastAsia"/>
          <w:kern w:val="0"/>
          <w:sz w:val="44"/>
          <w:szCs w:val="44"/>
          <w:lang/>
        </w:rPr>
        <w:t>附件：</w:t>
      </w:r>
    </w:p>
    <w:p w:rsidR="008E08BD" w:rsidRDefault="007B3CFF">
      <w:pPr>
        <w:widowControl/>
        <w:ind w:leftChars="50" w:left="105" w:rightChars="50" w:right="105"/>
        <w:jc w:val="center"/>
        <w:textAlignment w:val="center"/>
        <w:rPr>
          <w:rFonts w:ascii="方正小标宋简体" w:eastAsia="方正小标宋简体" w:hAnsi="方正小标宋简体" w:cs="方正小标宋简体"/>
          <w:kern w:val="0"/>
          <w:sz w:val="44"/>
          <w:szCs w:val="44"/>
          <w:lang/>
        </w:rPr>
      </w:pPr>
      <w:r>
        <w:rPr>
          <w:rFonts w:ascii="方正小标宋简体" w:eastAsia="方正小标宋简体" w:hAnsi="方正小标宋简体" w:cs="方正小标宋简体" w:hint="eastAsia"/>
          <w:kern w:val="0"/>
          <w:sz w:val="44"/>
          <w:szCs w:val="44"/>
          <w:lang/>
        </w:rPr>
        <w:t>整合划入市场监管综合行政执法范围的商务、盐业执法事项目录</w:t>
      </w:r>
    </w:p>
    <w:p w:rsidR="008E08BD" w:rsidRDefault="008E08BD">
      <w:pPr>
        <w:widowControl/>
        <w:ind w:leftChars="50" w:left="105" w:rightChars="50" w:right="105"/>
        <w:jc w:val="center"/>
        <w:textAlignment w:val="center"/>
        <w:rPr>
          <w:rFonts w:ascii="方正小标宋简体" w:eastAsia="方正小标宋简体" w:hAnsi="方正小标宋简体" w:cs="方正小标宋简体"/>
          <w:kern w:val="0"/>
          <w:sz w:val="44"/>
          <w:szCs w:val="44"/>
          <w:lang/>
        </w:rPr>
      </w:pPr>
    </w:p>
    <w:tbl>
      <w:tblPr>
        <w:tblW w:w="13281" w:type="dxa"/>
        <w:tblLayout w:type="fixed"/>
        <w:tblCellMar>
          <w:top w:w="15" w:type="dxa"/>
          <w:left w:w="15" w:type="dxa"/>
          <w:bottom w:w="15" w:type="dxa"/>
          <w:right w:w="15" w:type="dxa"/>
        </w:tblCellMar>
        <w:tblLook w:val="04A0"/>
      </w:tblPr>
      <w:tblGrid>
        <w:gridCol w:w="596"/>
        <w:gridCol w:w="488"/>
        <w:gridCol w:w="1512"/>
        <w:gridCol w:w="2124"/>
        <w:gridCol w:w="1236"/>
        <w:gridCol w:w="3504"/>
        <w:gridCol w:w="1308"/>
        <w:gridCol w:w="1416"/>
        <w:gridCol w:w="1097"/>
      </w:tblGrid>
      <w:tr w:rsidR="008E08BD">
        <w:trPr>
          <w:trHeight w:val="870"/>
        </w:trPr>
        <w:tc>
          <w:tcPr>
            <w:tcW w:w="59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jc w:val="center"/>
              <w:textAlignment w:val="center"/>
              <w:rPr>
                <w:rFonts w:ascii="黑体" w:eastAsia="黑体" w:hAnsi="宋体" w:cs="黑体"/>
                <w:kern w:val="0"/>
                <w:sz w:val="28"/>
                <w:szCs w:val="28"/>
                <w:lang/>
              </w:rPr>
            </w:pPr>
          </w:p>
          <w:p w:rsidR="008E08BD" w:rsidRDefault="007B3CFF">
            <w:pPr>
              <w:widowControl/>
              <w:ind w:leftChars="50" w:left="105" w:rightChars="50" w:right="105"/>
              <w:jc w:val="center"/>
              <w:textAlignment w:val="center"/>
              <w:rPr>
                <w:rFonts w:ascii="黑体" w:eastAsia="黑体" w:hAnsi="宋体" w:cs="黑体"/>
                <w:sz w:val="28"/>
                <w:szCs w:val="28"/>
              </w:rPr>
            </w:pPr>
            <w:r>
              <w:rPr>
                <w:rFonts w:ascii="黑体" w:eastAsia="黑体" w:hAnsi="宋体" w:cs="黑体" w:hint="eastAsia"/>
                <w:kern w:val="0"/>
                <w:sz w:val="28"/>
                <w:szCs w:val="28"/>
                <w:lang/>
              </w:rPr>
              <w:t>执法事项清单</w:t>
            </w:r>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黑体" w:eastAsia="黑体" w:hAnsi="宋体" w:cs="黑体"/>
                <w:sz w:val="28"/>
                <w:szCs w:val="28"/>
              </w:rPr>
            </w:pPr>
            <w:r>
              <w:rPr>
                <w:rFonts w:ascii="黑体" w:eastAsia="黑体" w:hAnsi="宋体" w:cs="黑体" w:hint="eastAsia"/>
                <w:kern w:val="0"/>
                <w:sz w:val="28"/>
                <w:szCs w:val="28"/>
                <w:lang/>
              </w:rPr>
              <w:t>职责边界</w:t>
            </w:r>
          </w:p>
        </w:tc>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黑体" w:eastAsia="黑体" w:hAnsi="宋体" w:cs="黑体"/>
                <w:kern w:val="0"/>
                <w:sz w:val="28"/>
                <w:szCs w:val="28"/>
                <w:lang/>
              </w:rPr>
            </w:pPr>
            <w:r>
              <w:rPr>
                <w:rFonts w:ascii="黑体" w:eastAsia="黑体" w:hAnsi="宋体" w:cs="黑体" w:hint="eastAsia"/>
                <w:kern w:val="0"/>
                <w:sz w:val="28"/>
                <w:szCs w:val="28"/>
                <w:lang/>
              </w:rPr>
              <w:t>划出部门</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黑体" w:eastAsia="黑体" w:hAnsi="宋体" w:cs="黑体"/>
                <w:kern w:val="0"/>
                <w:sz w:val="28"/>
                <w:szCs w:val="28"/>
                <w:lang/>
              </w:rPr>
            </w:pPr>
            <w:r>
              <w:rPr>
                <w:rFonts w:ascii="黑体" w:eastAsia="黑体" w:hAnsi="宋体" w:cs="黑体" w:hint="eastAsia"/>
                <w:kern w:val="0"/>
                <w:sz w:val="28"/>
                <w:szCs w:val="28"/>
                <w:lang/>
              </w:rPr>
              <w:t>实施主体</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黑体" w:eastAsia="黑体" w:hAnsi="宋体" w:cs="黑体"/>
                <w:kern w:val="0"/>
                <w:sz w:val="28"/>
                <w:szCs w:val="28"/>
                <w:lang/>
              </w:rPr>
            </w:pPr>
            <w:r>
              <w:rPr>
                <w:rFonts w:ascii="黑体" w:eastAsia="黑体" w:hAnsi="宋体" w:cs="黑体" w:hint="eastAsia"/>
                <w:kern w:val="0"/>
                <w:sz w:val="28"/>
                <w:szCs w:val="28"/>
                <w:lang/>
              </w:rPr>
              <w:t>备注</w:t>
            </w:r>
          </w:p>
        </w:tc>
      </w:tr>
      <w:tr w:rsidR="008E08BD">
        <w:trPr>
          <w:trHeight w:val="1110"/>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黑体" w:eastAsia="黑体" w:hAnsi="宋体" w:cs="黑体"/>
                <w:sz w:val="28"/>
                <w:szCs w:val="28"/>
              </w:rPr>
            </w:pPr>
            <w:r>
              <w:rPr>
                <w:rFonts w:ascii="黑体" w:eastAsia="黑体" w:hAnsi="宋体" w:cs="黑体" w:hint="eastAsia"/>
                <w:kern w:val="0"/>
                <w:sz w:val="28"/>
                <w:szCs w:val="28"/>
                <w:lang/>
              </w:rPr>
              <w:t>序号</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黑体" w:eastAsia="黑体" w:hAnsi="宋体" w:cs="黑体"/>
                <w:sz w:val="28"/>
                <w:szCs w:val="28"/>
              </w:rPr>
            </w:pPr>
            <w:r>
              <w:rPr>
                <w:rFonts w:ascii="黑体" w:eastAsia="黑体" w:hAnsi="宋体" w:cs="黑体" w:hint="eastAsia"/>
                <w:kern w:val="0"/>
                <w:sz w:val="28"/>
                <w:szCs w:val="28"/>
                <w:lang/>
              </w:rPr>
              <w:t>方面</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黑体" w:eastAsia="黑体" w:hAnsi="宋体" w:cs="黑体"/>
                <w:sz w:val="28"/>
                <w:szCs w:val="28"/>
              </w:rPr>
            </w:pPr>
            <w:r>
              <w:rPr>
                <w:rFonts w:ascii="黑体" w:eastAsia="黑体" w:hAnsi="宋体" w:cs="黑体" w:hint="eastAsia"/>
                <w:kern w:val="0"/>
                <w:sz w:val="28"/>
                <w:szCs w:val="28"/>
                <w:lang/>
              </w:rPr>
              <w:t>事项编码</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黑体" w:eastAsia="黑体" w:hAnsi="宋体" w:cs="黑体"/>
                <w:sz w:val="28"/>
                <w:szCs w:val="28"/>
              </w:rPr>
            </w:pPr>
            <w:r>
              <w:rPr>
                <w:rFonts w:ascii="黑体" w:eastAsia="黑体" w:hAnsi="宋体" w:cs="黑体" w:hint="eastAsia"/>
                <w:kern w:val="0"/>
                <w:sz w:val="28"/>
                <w:szCs w:val="28"/>
                <w:lang/>
              </w:rPr>
              <w:t>事项名称</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jc w:val="center"/>
              <w:textAlignment w:val="center"/>
              <w:rPr>
                <w:rFonts w:ascii="黑体" w:eastAsia="黑体" w:hAnsi="宋体" w:cs="黑体"/>
                <w:sz w:val="28"/>
                <w:szCs w:val="28"/>
              </w:rPr>
            </w:pPr>
            <w:r>
              <w:rPr>
                <w:rFonts w:ascii="黑体" w:eastAsia="黑体" w:hAnsi="宋体" w:cs="黑体" w:hint="eastAsia"/>
                <w:kern w:val="0"/>
                <w:sz w:val="28"/>
                <w:szCs w:val="28"/>
                <w:lang/>
              </w:rPr>
              <w:t>具体划转</w:t>
            </w:r>
            <w:r>
              <w:rPr>
                <w:rFonts w:ascii="黑体" w:eastAsia="黑体" w:hAnsi="宋体" w:cs="黑体" w:hint="eastAsia"/>
                <w:kern w:val="0"/>
                <w:sz w:val="28"/>
                <w:szCs w:val="28"/>
                <w:lang/>
              </w:rPr>
              <w:br/>
            </w:r>
            <w:r>
              <w:rPr>
                <w:rFonts w:ascii="黑体" w:eastAsia="黑体" w:hAnsi="宋体" w:cs="黑体" w:hint="eastAsia"/>
                <w:kern w:val="0"/>
                <w:sz w:val="28"/>
                <w:szCs w:val="28"/>
                <w:lang/>
              </w:rPr>
              <w:t>执法事项</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jc w:val="center"/>
              <w:rPr>
                <w:rFonts w:ascii="黑体" w:eastAsia="黑体" w:hAnsi="宋体" w:cs="黑体"/>
                <w:sz w:val="28"/>
                <w:szCs w:val="28"/>
              </w:rPr>
            </w:pPr>
          </w:p>
        </w:tc>
        <w:tc>
          <w:tcPr>
            <w:tcW w:w="1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jc w:val="center"/>
              <w:rPr>
                <w:rFonts w:ascii="黑体" w:eastAsia="黑体" w:hAnsi="宋体" w:cs="黑体"/>
                <w:sz w:val="20"/>
                <w:szCs w:val="20"/>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jc w:val="center"/>
              <w:rPr>
                <w:rFonts w:ascii="黑体" w:eastAsia="黑体" w:hAnsi="宋体" w:cs="黑体"/>
                <w:sz w:val="20"/>
                <w:szCs w:val="20"/>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jc w:val="center"/>
              <w:rPr>
                <w:rFonts w:ascii="黑体" w:eastAsia="黑体" w:hAnsi="宋体" w:cs="黑体"/>
                <w:sz w:val="28"/>
                <w:szCs w:val="28"/>
              </w:rPr>
            </w:pPr>
          </w:p>
        </w:tc>
      </w:tr>
      <w:tr w:rsidR="008E08BD">
        <w:trPr>
          <w:trHeight w:val="750"/>
        </w:trPr>
        <w:tc>
          <w:tcPr>
            <w:tcW w:w="132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left"/>
              <w:textAlignment w:val="center"/>
              <w:rPr>
                <w:rFonts w:ascii="黑体" w:eastAsia="黑体" w:hAnsi="宋体" w:cs="黑体"/>
                <w:sz w:val="24"/>
              </w:rPr>
            </w:pPr>
            <w:r>
              <w:rPr>
                <w:rFonts w:ascii="黑体" w:eastAsia="黑体" w:hAnsi="宋体" w:cs="黑体" w:hint="eastAsia"/>
                <w:kern w:val="0"/>
                <w:sz w:val="24"/>
                <w:lang/>
              </w:rPr>
              <w:t>一、商务（共</w:t>
            </w:r>
            <w:r>
              <w:rPr>
                <w:rFonts w:ascii="黑体" w:eastAsia="黑体" w:hAnsi="宋体" w:cs="黑体" w:hint="eastAsia"/>
                <w:kern w:val="0"/>
                <w:sz w:val="24"/>
                <w:lang/>
              </w:rPr>
              <w:t>94</w:t>
            </w:r>
            <w:r>
              <w:rPr>
                <w:rFonts w:ascii="黑体" w:eastAsia="黑体" w:hAnsi="宋体" w:cs="黑体" w:hint="eastAsia"/>
                <w:kern w:val="0"/>
                <w:sz w:val="24"/>
                <w:lang/>
              </w:rPr>
              <w:t>项）</w:t>
            </w: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拍卖</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330221003000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对依法取得从事拍卖业务许可的企业出租、擅自转让拍卖经营权的行政处罚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2</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330221001000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对依法取得从事拍卖业务许可的企业不依规雇佣、使用拍卖师的行政处罚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3</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330221002000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对依法取得从事拍卖业务许可的企业拍卖前违规进行公告或展示的行政处罚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4</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330221015000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对依法取得从事拍卖业务许可的企业连续</w:t>
            </w:r>
            <w:r>
              <w:rPr>
                <w:rFonts w:ascii="宋体" w:eastAsia="宋体" w:hAnsi="宋体" w:cs="宋体" w:hint="eastAsia"/>
                <w:kern w:val="0"/>
                <w:szCs w:val="21"/>
                <w:lang/>
              </w:rPr>
              <w:t>6</w:t>
            </w:r>
            <w:r>
              <w:rPr>
                <w:rFonts w:ascii="宋体" w:eastAsia="宋体" w:hAnsi="宋体" w:cs="宋体" w:hint="eastAsia"/>
                <w:kern w:val="0"/>
                <w:szCs w:val="21"/>
                <w:lang/>
              </w:rPr>
              <w:t>个月无正当理由未举办拍卖会或没有营业纳税证明的行政处罚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5</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单用途</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预付卡</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330221045000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对单用途商业预付卡集团发卡企业、品牌发卡企业疏于管理的行政处罚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6</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330221044000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对单用途商业预付卡集团发卡企业、品牌发卡企业未按规定建立业务处理系统并保障其运行质量等相关行为的行政处罚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330221042000</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对单用途商业预付卡规模发卡企业未在境内建立相适应的业务处理系统并保障其运行质量等相关行为的行政处罚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8</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330221038001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对单用途商业预付卡集团企业、品牌发卡企业违反备案规定的行政处罚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330221038002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对单用途商业</w:t>
            </w:r>
            <w:bookmarkStart w:id="0" w:name="_GoBack"/>
            <w:bookmarkEnd w:id="0"/>
            <w:r>
              <w:rPr>
                <w:rFonts w:ascii="宋体" w:eastAsia="宋体" w:hAnsi="宋体" w:cs="宋体" w:hint="eastAsia"/>
                <w:kern w:val="0"/>
                <w:szCs w:val="21"/>
                <w:lang/>
              </w:rPr>
              <w:t>预付卡规模发卡企业违反备案规定的行政处罚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10</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330221038003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对单用途商业预付卡其他发卡企业违反备案规定的行政处罚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11</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330221036000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szCs w:val="21"/>
              </w:rPr>
              <w:t>对单用途商业预付卡发卡企业或售卡企业违反单用途商业预付卡发行与服务相关规定的行政处罚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12</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330221035000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对单用途商业预付卡发卡企业违反单用途商业预付卡资金管理相关规定的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90"/>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13</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单用途预付</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凭证</w:t>
            </w:r>
            <w:r>
              <w:rPr>
                <w:rFonts w:ascii="宋体" w:eastAsia="宋体" w:hAnsi="宋体" w:cs="宋体" w:hint="eastAsia"/>
                <w:kern w:val="0"/>
                <w:szCs w:val="21"/>
                <w:lang/>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330221016000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对经营者违反单用途商业预付凭证发行管理相关规定的行政处罚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491"/>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14</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汽车销售</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330221047001</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对汽车经销商出售未经授权销售</w:t>
            </w:r>
            <w:r>
              <w:rPr>
                <w:rStyle w:val="font121"/>
                <w:rFonts w:hint="default"/>
                <w:color w:val="auto"/>
                <w:lang/>
              </w:rPr>
              <w:t>的</w:t>
            </w:r>
            <w:r>
              <w:rPr>
                <w:rStyle w:val="font41"/>
                <w:rFonts w:hint="default"/>
                <w:color w:val="auto"/>
                <w:lang/>
              </w:rPr>
              <w:t>汽车，未书面向消费者提醒、说明销售汽车授权情况，或未经授权、授权终止后以供应商授权名义从事汽车销售经营活动的行政处罚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15</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330221047002</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对汽车经销商不明码标价销售的行政处罚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16</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330221047003</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51"/>
                <w:rFonts w:hint="default"/>
                <w:color w:val="auto"/>
                <w:sz w:val="21"/>
                <w:szCs w:val="21"/>
                <w:lang/>
              </w:rPr>
              <w:t>对汽车经销商、供应商限定消费者户籍所在地、产品提供</w:t>
            </w:r>
            <w:r>
              <w:rPr>
                <w:rStyle w:val="font131"/>
                <w:rFonts w:hint="default"/>
                <w:color w:val="auto"/>
                <w:sz w:val="21"/>
                <w:szCs w:val="21"/>
                <w:lang/>
              </w:rPr>
              <w:t>商</w:t>
            </w:r>
            <w:r>
              <w:rPr>
                <w:rStyle w:val="font51"/>
                <w:rFonts w:hint="default"/>
                <w:color w:val="auto"/>
                <w:sz w:val="21"/>
                <w:szCs w:val="21"/>
                <w:lang/>
              </w:rPr>
              <w:t>和售后服务</w:t>
            </w:r>
            <w:r>
              <w:rPr>
                <w:rStyle w:val="font131"/>
                <w:rFonts w:hint="default"/>
                <w:color w:val="auto"/>
                <w:sz w:val="21"/>
                <w:szCs w:val="21"/>
                <w:lang/>
              </w:rPr>
              <w:t>商</w:t>
            </w:r>
            <w:r>
              <w:rPr>
                <w:rStyle w:val="font51"/>
                <w:rFonts w:hint="default"/>
                <w:color w:val="auto"/>
                <w:sz w:val="21"/>
                <w:szCs w:val="21"/>
                <w:lang/>
              </w:rPr>
              <w:t>，强制购买保险、提供代办登记等服务的行政处罚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330221047004</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对汽车经销商、供应商不落实提供连续售后服务的行政处罚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18</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330221047005</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对汽车供应商制定或实施的商务政策违反公平、公正、透明原则的行政处罚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19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330221047006</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对汽车供应商限制配件生产商、进口商的销售对象，无依据限制经销商、售后服务商转售配件，或未及时公布停产、停售车型并保证配件供应及售后服务的行政处罚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20</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330221047007</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对汽车供应商违反汽车区域销售合同的行政处罚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21</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330221047008</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对汽车供应商向汽车经销商提出不合理、不平等要求或限制的行政处罚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29"/>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22</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330221047009</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对汽车经销商、售后服务商未标明、提醒、说明销售或提供配件相关信息的行政处罚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23</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330221037001</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对汽车经销商、供应商未在经营场所或企业网站明示或公布售后服务政策、“三包”信息、合作售后服务商名单的行政处罚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24</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330221037002</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对汽车经销商、供应商未落实建立健全消费者投诉机制的行政处罚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25</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330221037003</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对汽车经销商、供应商未通过全国汽车流通信息管理系统备案、不及时报送相关信息的行政处罚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26</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330221037004</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对汽车经销商、供应商未按要求落实汽车销售信息档案管理制度的行政处罚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27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330221037005</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对汽车经销商销售汽车时未核实登记消费者身份证明、签订销售合同、如实开具销售发票的行政处罚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28</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报废机动车</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330221046001</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对报废机动车回收企业未按规定处置新能源汽车动力蓄电池的行政处罚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29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330221046002</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对报废机动车回收企业未取得资质进行回收拆解活动的行政处罚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30</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330221046003</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对因买卖、伪造报废机动车回收证明等违法行为被公安机关治安管理处罚的报废机动车回收企业的行政处罚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31</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330221046004</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对报废机动车回收企业违规处置报废机动车五大总成、拆解零部件的行政处罚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32</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330221046005</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对报废机动车回收企业不按规定办理、转交注销登记的行政处罚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33</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330221046006</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对报废机动车回收企业不按规定如实登记填报五大总成等主要部件信息的行政处罚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34</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br/>
              <w:t>330221046007</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对违反环保法规并被</w:t>
            </w:r>
            <w:r>
              <w:rPr>
                <w:rStyle w:val="font121"/>
                <w:rFonts w:hint="default"/>
                <w:color w:val="auto"/>
                <w:lang/>
              </w:rPr>
              <w:t>生态环境主管部门</w:t>
            </w:r>
            <w:r>
              <w:rPr>
                <w:rStyle w:val="font41"/>
                <w:rFonts w:hint="default"/>
                <w:color w:val="auto"/>
                <w:lang/>
              </w:rPr>
              <w:t>处罚后拒不改正或逾期未改正的报废机动车回收企业的行政处罚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35</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330221046008</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对报废机动车回收企业涂改、出租、出借或以其他形式非法转让《报废机动车回收拆解企业资质认定证书》的行政处罚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36</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br/>
              <w:t>330221046009</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对报废机动车回收企业未按要求备案分支机构，或分支机构违规对报废机动车进行拆解的行政处罚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37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330221046010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对报废机动车回收企业违规开具或发放《报废机动车回收证明》，或未</w:t>
            </w:r>
            <w:r>
              <w:rPr>
                <w:rStyle w:val="font121"/>
                <w:rFonts w:hint="default"/>
                <w:color w:val="auto"/>
                <w:lang/>
              </w:rPr>
              <w:t>按规定</w:t>
            </w:r>
            <w:r>
              <w:rPr>
                <w:rStyle w:val="font41"/>
                <w:rFonts w:hint="default"/>
                <w:color w:val="auto"/>
                <w:lang/>
              </w:rPr>
              <w:t>对已出具《报废机动车回收证明》的报废机动车进行拆解的行政处罚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38</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330221046011</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对报废机动车回收企业违规拆解报废机动车，或交易报废机动车整车、拼装车的行政处罚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39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br/>
              <w:t>330221046012</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对报废机动车回收企业未按规定建立和使用电子监控系统的行政处罚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40</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br/>
              <w:t>330221046013</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对报废机动车回收企业不具备资质认定条件的行政处罚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41</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旧电器电子</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产品</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330221048001</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对经营者未建立旧电器电子产品档案的行政处罚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42</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330221048002</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对旧电器电子产品市场未建立旧电器电子产品档案的行政处罚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43</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330221048003</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对经营者未对收购产品进行登记的行政处罚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44</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330221050001</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对经营者未依法履行旧电器电子产品“三包”责任的行政处罚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45</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330221050002</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对经营者违规销售旧电器电子产品的行政处罚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46</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330221050003</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对未按规定标识旧电器电子产品的行政处罚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47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330221050004</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对经营者未妥善处置旧电器电子产品存储信息的行政处罚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48</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330221050005</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对经营者、市场未按规定报送统计信息、数据的行政处罚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49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330221049000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对经营者违规收购或销售旧电器电子产品的行政处罚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50</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散装汽油</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330221043000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对散装汽油经营者未查验并登记购买者身份信息的行政处罚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51</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商业特许</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经营</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330221014000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对特许人不符合“两店一年”条件开展商业特许经营活动的行政处罚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52</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330221055000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对企业以外的其他单位和个人作为特许人从事特许经营活动的行政处罚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53</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330221013000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对特许人未在首次订立特许经营合同之日起</w:t>
            </w:r>
            <w:r>
              <w:rPr>
                <w:rFonts w:ascii="宋体" w:eastAsia="宋体" w:hAnsi="宋体" w:cs="宋体" w:hint="eastAsia"/>
                <w:kern w:val="0"/>
                <w:szCs w:val="21"/>
                <w:lang/>
              </w:rPr>
              <w:t>15</w:t>
            </w:r>
            <w:r>
              <w:rPr>
                <w:rFonts w:ascii="宋体" w:eastAsia="宋体" w:hAnsi="宋体" w:cs="宋体" w:hint="eastAsia"/>
                <w:kern w:val="0"/>
                <w:szCs w:val="21"/>
                <w:lang/>
              </w:rPr>
              <w:t>日内向商务主管部门备案的行政处罚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51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54</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 xml:space="preserve"> 330221054000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对特许人未按规定告知被特许人在订立特许经营合同前支付费用，或特许人未在每年第一季度向商务主管部门报告上一年度特许经营合同订立情况的行政处罚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55</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330221041000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对特许人未按规定向被特许人提供经营合同文本及相关信息、隐瞒有关信息、提供虚假信息或提供的信息发生重大变更未及时通知被特许人的行政处罚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56</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商品现货</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330221039000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对商品现货市场经营者违规经营或违反市场机制的行政处罚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57</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一次性</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塑料制品</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330221064000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对未按规定使用不可降解塑料袋等一次性塑料制品或未按规定报告塑料袋等一次性塑料制品使用情况的行政处罚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58</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散装水泥</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330221051000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对企业违法使用袋装水泥或袋装普通干混砂浆的</w:t>
            </w:r>
            <w:r>
              <w:rPr>
                <w:rStyle w:val="font121"/>
                <w:rFonts w:hint="default"/>
                <w:color w:val="auto"/>
                <w:lang/>
              </w:rPr>
              <w:t>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59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330221053000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对企业使用未经培训的散装水泥、预拌混凝土、预拌砂浆专用车辆驾驶员驾驶专用车辆的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60</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330221052000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对禁现区域内建设工程符合现场搅拌混凝土、砂浆情形但建设单位或施工单位未事先报告的行政处罚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61</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330221067000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对禁现区域内建设工程不符合现场搅拌混凝土、砂浆条件建设单位或施工单位仍现场搅拌的行政处罚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62</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零售商</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供应商</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330221021000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对零售商、供应商交易中不公平行为的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63</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家庭服务</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机构</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330221032000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对家庭服务机构未公开服务项目、收费标准和投诉监督电话的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64</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br/>
              <w:t>330221033000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对家庭服务机构未按要求建立工作档案、跟踪管理制度，对投诉不予妥善处理的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65</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330221029000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对家庭服务机构未按要求提供经营档案信息、经营情况信息的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66</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330221063000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对家庭服务机构损害消费者或家庭服务员合法权益的行政处罚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67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330221034000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对家庭服务机构未按要求订立家庭服务合同，拒绝家庭服务员获取家庭服务合同的行政处罚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68</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餐饮</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330221024002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对餐饮经营者违反促销</w:t>
            </w:r>
            <w:r>
              <w:rPr>
                <w:rStyle w:val="font121"/>
                <w:rFonts w:hint="default"/>
                <w:color w:val="auto"/>
                <w:lang/>
              </w:rPr>
              <w:t>管理</w:t>
            </w:r>
            <w:r>
              <w:rPr>
                <w:rStyle w:val="font41"/>
                <w:rFonts w:hint="default"/>
                <w:color w:val="auto"/>
                <w:lang/>
              </w:rPr>
              <w:t>规定的行政处罚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69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330221024003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对餐饮经营者未按规定建立健全突发事件应急预案及应对机制的行政处罚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70</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330221024004</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对餐饮经营者未按规定建立外送服务流程及顾客投诉制度的行政处罚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71</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家电维修</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330221030001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对家电维修经营者违反家电维修服务业信息公示要求的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72</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330221030002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对家电维修经营者违反家电维修服务业经营行为要求的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719"/>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73</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美容美发</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330221028000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对美容美发经营者未明确服务项目范围，未按照其服务项目范围提供服务，或提供服务后未出具消费凭证或服务单</w:t>
            </w:r>
            <w:r>
              <w:rPr>
                <w:rStyle w:val="font41"/>
                <w:rFonts w:hint="default"/>
                <w:color w:val="auto"/>
                <w:lang/>
              </w:rPr>
              <w:lastRenderedPageBreak/>
              <w:t>据的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lastRenderedPageBreak/>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74</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机电产品</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国际招投标</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330221007001</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对机电产品招标人规避国际招标的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75</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330221007002</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对机电产品招标人在招投标过程中违规行为的行政处罚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76</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330221007004</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对机电产品投标人在招投标过程中违规行为的行政处罚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77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330221007005</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对机电产品中标人无正当理由不订立合同、签订合同时提出附加条件、不按要求提交履约保证金、不履行订立合同的行政处罚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78</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330221007006</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对机电产品招标机构在代理招</w:t>
            </w:r>
            <w:r>
              <w:rPr>
                <w:rStyle w:val="font121"/>
                <w:rFonts w:hint="default"/>
                <w:color w:val="auto"/>
                <w:lang/>
              </w:rPr>
              <w:t>投</w:t>
            </w:r>
            <w:r>
              <w:rPr>
                <w:rStyle w:val="font41"/>
                <w:rFonts w:hint="default"/>
                <w:color w:val="auto"/>
                <w:lang/>
              </w:rPr>
              <w:t>标过程中违规行为的行政处罚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79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330221007007</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对机电产品国际招投标评标委员会成员违规行为的行政处罚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80</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330221007008</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对机电产品国际招投标过程中，出让或出租资格、资质证书供他人投标的行政处罚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81</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贸易救济</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330221006000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对有关行业组织、中介组织和企业泄露出口产品反倾销案件应对策略和应诉方案核心内容等重要信息的行政处罚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82</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kern w:val="0"/>
                <w:szCs w:val="21"/>
                <w:lang/>
              </w:rPr>
            </w:pPr>
            <w:r>
              <w:rPr>
                <w:rFonts w:ascii="宋体" w:eastAsia="宋体" w:hAnsi="宋体" w:cs="宋体" w:hint="eastAsia"/>
                <w:kern w:val="0"/>
                <w:szCs w:val="21"/>
                <w:lang/>
              </w:rPr>
              <w:t>对外承包</w:t>
            </w:r>
          </w:p>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工程</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330221027000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对对外承包工程企业未按规定向有关部门报送相关情况和资料的行政处罚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83</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330221026000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对对外承包工程企业违规招用外派人员、未购买境外人身意外伤害保险或未按规定存缴备用金的行政处罚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84</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330221023000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对对外承包工程企业违反安全管理相关规定的行政处罚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85</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330221022000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对对外承包工程企业违规承揽项目和分包项目相关行为的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86</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对外劳务</w:t>
            </w:r>
            <w:r>
              <w:rPr>
                <w:rFonts w:ascii="宋体" w:eastAsia="宋体" w:hAnsi="宋体" w:cs="宋体" w:hint="eastAsia"/>
                <w:kern w:val="0"/>
                <w:szCs w:val="21"/>
                <w:lang/>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330221068000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对对外劳务合作企业未按规定安排和管理劳务人员相关行为的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87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330221069000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对对外劳务合作企业未按规定执行备案手续、未制定突发事件应急预案相关行为的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88</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330221070000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对对外劳务合作企业拒不将服务合同等合同副本报商务主管部门备案，合同未载明必备事项，或备案后拒不按照要求补正必备事项的行政处罚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558"/>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89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330221071000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121"/>
                <w:rFonts w:hint="default"/>
                <w:color w:val="auto"/>
                <w:lang/>
              </w:rPr>
              <w:t>对对外劳务合作企业</w:t>
            </w:r>
            <w:r>
              <w:rPr>
                <w:rStyle w:val="font41"/>
                <w:rFonts w:hint="default"/>
                <w:color w:val="auto"/>
                <w:lang/>
              </w:rPr>
              <w:t>以商务、旅游、留学等名义或允许其他单位、个人以本企业名义组织劳务人员赴外工作，或组织劳务人员赴外从事与赌博、色情活动相关工作的行政处罚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90</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330221072000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41"/>
                <w:rFonts w:hint="default"/>
                <w:color w:val="auto"/>
                <w:lang/>
              </w:rPr>
              <w:t>对对外劳务合作企业违规安排人员赴外工作，或在国外发生突发事件时不及时处理相关行为的</w:t>
            </w:r>
            <w:r>
              <w:rPr>
                <w:rStyle w:val="font121"/>
                <w:rFonts w:hint="default"/>
                <w:color w:val="auto"/>
                <w:lang/>
              </w:rPr>
              <w:t>行政</w:t>
            </w:r>
            <w:r>
              <w:rPr>
                <w:rStyle w:val="font41"/>
                <w:rFonts w:hint="default"/>
                <w:color w:val="auto"/>
                <w:lang/>
              </w:rPr>
              <w:t>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91</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330221010000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对对外劳务合作企业未依照规定缴存或补足备用金的行政处罚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92</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境外投资</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330221056001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对境外投资企业以提供虚假材料等不正当手段办理备案并取得《企业境外投资证书》的行政处罚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93</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br/>
              <w:t>330221056002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对境外投资企业伪造、涂改、出租或转让《企业境外投资证书》的行政处罚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94</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外商投资</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330221018000</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对外国投资者、外商投资企业未按照外商投资信息报告制度要求报送投资信息的行政处罚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商务主管部门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Cs w:val="21"/>
              </w:rPr>
            </w:pPr>
          </w:p>
        </w:tc>
      </w:tr>
      <w:tr w:rsidR="008E08BD">
        <w:trPr>
          <w:trHeight w:val="644"/>
        </w:trPr>
        <w:tc>
          <w:tcPr>
            <w:tcW w:w="132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黑体" w:eastAsia="黑体" w:hAnsi="黑体" w:cs="黑体" w:hint="eastAsia"/>
                <w:kern w:val="0"/>
                <w:sz w:val="24"/>
                <w:lang/>
              </w:rPr>
              <w:lastRenderedPageBreak/>
              <w:t>二、经信（共</w:t>
            </w:r>
            <w:r>
              <w:rPr>
                <w:rFonts w:ascii="黑体" w:eastAsia="黑体" w:hAnsi="黑体" w:cs="黑体" w:hint="eastAsia"/>
                <w:kern w:val="0"/>
                <w:sz w:val="24"/>
                <w:lang/>
              </w:rPr>
              <w:t>15</w:t>
            </w:r>
            <w:r>
              <w:rPr>
                <w:rFonts w:ascii="黑体" w:eastAsia="黑体" w:hAnsi="黑体" w:cs="黑体" w:hint="eastAsia"/>
                <w:kern w:val="0"/>
                <w:sz w:val="24"/>
                <w:lang/>
              </w:rPr>
              <w:t>项）</w:t>
            </w: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95</w:t>
            </w:r>
          </w:p>
        </w:tc>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 w:val="22"/>
                <w:szCs w:val="22"/>
              </w:rPr>
            </w:pPr>
            <w:r>
              <w:rPr>
                <w:rFonts w:ascii="宋体" w:eastAsia="宋体" w:hAnsi="宋体" w:cs="宋体" w:hint="eastAsia"/>
                <w:kern w:val="0"/>
                <w:szCs w:val="21"/>
                <w:lang/>
              </w:rPr>
              <w:t>盐业</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330207058000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对非食盐定点生产企业生产食盐的行政处罚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b/>
                <w:sz w:val="32"/>
                <w:szCs w:val="32"/>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kern w:val="0"/>
                <w:szCs w:val="21"/>
                <w:lang/>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kern w:val="0"/>
                <w:szCs w:val="21"/>
                <w:lang/>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kern w:val="0"/>
                <w:szCs w:val="21"/>
                <w:lang/>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96</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330207059000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对非食盐定点批发企业经营食盐批发业务的行政处罚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0"/>
                <w:szCs w:val="20"/>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97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330207060000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对食盐定点生产企业、非食用盐生产企业未按规定保存生产销售记录的行政处罚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0"/>
                <w:szCs w:val="20"/>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98</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330207061000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对食盐定点批发企业未按规定保存采购销售记录的行政处罚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0"/>
                <w:szCs w:val="20"/>
              </w:rPr>
            </w:pPr>
          </w:p>
        </w:tc>
      </w:tr>
      <w:tr w:rsidR="008E08BD">
        <w:trPr>
          <w:trHeight w:val="58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99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330207062000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对食盐定点批发企业超出国家规定的范围销售食盐的行政处罚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0"/>
                <w:szCs w:val="20"/>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100</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330207063000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Style w:val="font51"/>
                <w:rFonts w:hint="default"/>
                <w:color w:val="auto"/>
                <w:sz w:val="21"/>
                <w:szCs w:val="21"/>
                <w:lang/>
              </w:rPr>
              <w:t>对</w:t>
            </w:r>
            <w:r>
              <w:rPr>
                <w:rStyle w:val="font131"/>
                <w:rFonts w:hint="default"/>
                <w:color w:val="auto"/>
                <w:sz w:val="21"/>
                <w:szCs w:val="21"/>
                <w:lang/>
              </w:rPr>
              <w:t>将</w:t>
            </w:r>
            <w:r>
              <w:rPr>
                <w:rStyle w:val="font51"/>
                <w:rFonts w:hint="default"/>
                <w:color w:val="auto"/>
                <w:sz w:val="21"/>
                <w:szCs w:val="21"/>
                <w:lang/>
              </w:rPr>
              <w:t>非食用盐产品作为食盐销售的行政处罚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0"/>
                <w:szCs w:val="20"/>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101</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330207064000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对食盐定点批发企业从食盐定点生产企业、其他食盐定点批发企业以外的单位或者个人购进食盐的行政处罚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0"/>
                <w:szCs w:val="20"/>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102</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330207065000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对食盐零售单位从食盐定点批发企业以外的单位或个人购进食盐的行政处罚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0"/>
                <w:szCs w:val="20"/>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0"/>
                <w:szCs w:val="20"/>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103</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330207066000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对未按照规定在食盐外包装上作出标识的行政处罚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r>
      <w:tr w:rsidR="008E08BD">
        <w:trPr>
          <w:trHeight w:val="90"/>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104</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330207067000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对食盐定点生产企业、食盐定点批发企业违反规定聘用人员的行政处罚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r>
      <w:tr w:rsidR="008E08BD">
        <w:trPr>
          <w:trHeight w:val="2310"/>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105</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330207068000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对碘盐加工企业、批发企业加工、批发不合格碘盐的行政处罚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需要报请上级盐业主管部门批准的，由盐业主管部门负责上报。</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106</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330207069000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对在缺碘地区食用盐市场销售不合格碘盐或擅自销售非碘盐的行政处罚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107</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330207072000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对擅自废弃、转产盐田的行政处罚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r>
      <w:tr w:rsidR="008E08BD">
        <w:trPr>
          <w:trHeight w:val="199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lastRenderedPageBreak/>
              <w:t>108</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330207070000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对生产、加工用于零售的碘盐未按国家有关规定实行小包装并加贴防伪碘盐标识的行政处罚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r>
      <w:tr w:rsidR="008E08BD">
        <w:trPr>
          <w:trHeight w:val="50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Theme="minorEastAsia" w:hAnsiTheme="minorEastAsia" w:cstheme="minorEastAsia"/>
                <w:szCs w:val="21"/>
              </w:rPr>
            </w:pPr>
            <w:r>
              <w:rPr>
                <w:rFonts w:asciiTheme="minorEastAsia" w:hAnsiTheme="minorEastAsia" w:cstheme="minorEastAsia" w:hint="eastAsia"/>
                <w:kern w:val="0"/>
                <w:szCs w:val="21"/>
                <w:lang/>
              </w:rPr>
              <w:t>109</w:t>
            </w:r>
          </w:p>
        </w:tc>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330207071000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对食盐批发企业造成责任性脱销的行政处罚</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jc w:val="center"/>
              <w:textAlignment w:val="center"/>
              <w:rPr>
                <w:rFonts w:ascii="宋体" w:eastAsia="宋体" w:hAnsi="宋体" w:cs="宋体"/>
                <w:szCs w:val="21"/>
              </w:rPr>
            </w:pPr>
            <w:r>
              <w:rPr>
                <w:rFonts w:ascii="宋体" w:eastAsia="宋体" w:hAnsi="宋体" w:cs="宋体" w:hint="eastAsia"/>
                <w:kern w:val="0"/>
                <w:szCs w:val="21"/>
                <w:lang/>
              </w:rPr>
              <w:t>全部</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textAlignment w:val="center"/>
              <w:rPr>
                <w:rFonts w:ascii="宋体" w:eastAsia="宋体" w:hAnsi="宋体" w:cs="宋体"/>
                <w:szCs w:val="21"/>
              </w:rPr>
            </w:pPr>
            <w:r>
              <w:rPr>
                <w:rFonts w:ascii="宋体" w:eastAsia="宋体" w:hAnsi="宋体" w:cs="宋体" w:hint="eastAsia"/>
                <w:kern w:val="0"/>
                <w:szCs w:val="21"/>
                <w:lang/>
              </w:rPr>
              <w:t>盐业主管部门负责日常监管、受理投诉、举报；对发现、移送的违法线索进行处理，责令改正；需要立案查处的，将相关证据材料移送市场监管部门。市场监管部门按程序办理并将处理结果反馈盐业主管部门。</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盐业主管部门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7B3CFF">
            <w:pPr>
              <w:widowControl/>
              <w:ind w:leftChars="50" w:left="105" w:rightChars="50" w:right="105"/>
              <w:rPr>
                <w:rFonts w:ascii="宋体" w:eastAsia="宋体" w:hAnsi="宋体" w:cs="宋体"/>
                <w:sz w:val="22"/>
                <w:szCs w:val="22"/>
              </w:rPr>
            </w:pPr>
            <w:r>
              <w:rPr>
                <w:rFonts w:ascii="宋体" w:eastAsia="宋体" w:hAnsi="宋体" w:cs="宋体" w:hint="eastAsia"/>
                <w:kern w:val="0"/>
                <w:szCs w:val="21"/>
                <w:lang/>
              </w:rPr>
              <w:t>市场监管部门</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8BD" w:rsidRDefault="008E08BD">
            <w:pPr>
              <w:widowControl/>
              <w:ind w:leftChars="50" w:left="105" w:rightChars="50" w:right="105"/>
              <w:rPr>
                <w:rFonts w:ascii="宋体" w:eastAsia="宋体" w:hAnsi="宋体" w:cs="宋体"/>
                <w:sz w:val="22"/>
                <w:szCs w:val="22"/>
              </w:rPr>
            </w:pPr>
          </w:p>
        </w:tc>
      </w:tr>
      <w:tr w:rsidR="008E08BD">
        <w:trPr>
          <w:trHeight w:val="540"/>
        </w:trPr>
        <w:tc>
          <w:tcPr>
            <w:tcW w:w="13281" w:type="dxa"/>
            <w:gridSpan w:val="9"/>
            <w:shd w:val="clear" w:color="auto" w:fill="auto"/>
            <w:vAlign w:val="center"/>
          </w:tcPr>
          <w:p w:rsidR="008E08BD" w:rsidRDefault="007B3CFF">
            <w:pPr>
              <w:widowControl/>
              <w:ind w:leftChars="50" w:left="105" w:rightChars="50" w:right="105"/>
              <w:jc w:val="left"/>
              <w:textAlignment w:val="center"/>
              <w:rPr>
                <w:rFonts w:ascii="楷体_GB2312" w:eastAsia="楷体_GB2312" w:hAnsi="宋体" w:cs="楷体_GB2312"/>
                <w:sz w:val="22"/>
                <w:szCs w:val="22"/>
              </w:rPr>
            </w:pPr>
            <w:r>
              <w:rPr>
                <w:rFonts w:ascii="楷体_GB2312" w:eastAsia="楷体_GB2312" w:hAnsi="宋体" w:cs="楷体_GB2312" w:hint="eastAsia"/>
                <w:kern w:val="0"/>
                <w:sz w:val="24"/>
                <w:lang/>
              </w:rPr>
              <w:t>注：本目录行政处罚事项根据浙江省权力事项库（监管库）动态调整。</w:t>
            </w:r>
          </w:p>
        </w:tc>
      </w:tr>
    </w:tbl>
    <w:p w:rsidR="008E08BD" w:rsidRDefault="008E08BD"/>
    <w:sectPr w:rsidR="008E08BD" w:rsidSect="008E08BD">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CFF" w:rsidRDefault="007B3CFF" w:rsidP="008E08BD">
      <w:r>
        <w:separator/>
      </w:r>
    </w:p>
  </w:endnote>
  <w:endnote w:type="continuationSeparator" w:id="1">
    <w:p w:rsidR="007B3CFF" w:rsidRDefault="007B3CFF" w:rsidP="008E0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BD" w:rsidRDefault="008E08B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E08BD" w:rsidRDefault="008E08BD">
                <w:pPr>
                  <w:snapToGrid w:val="0"/>
                  <w:rPr>
                    <w:rFonts w:ascii="Times New Roman" w:hAnsi="Times New Roman" w:cs="Times New Roman"/>
                    <w:szCs w:val="21"/>
                  </w:rPr>
                </w:pPr>
                <w:r>
                  <w:rPr>
                    <w:rFonts w:ascii="Times New Roman" w:hAnsi="Times New Roman" w:cs="Times New Roman"/>
                    <w:szCs w:val="21"/>
                  </w:rPr>
                  <w:fldChar w:fldCharType="begin"/>
                </w:r>
                <w:r w:rsidR="007B3CFF">
                  <w:rPr>
                    <w:rFonts w:ascii="Times New Roman" w:hAnsi="Times New Roman" w:cs="Times New Roman"/>
                    <w:szCs w:val="21"/>
                  </w:rPr>
                  <w:instrText xml:space="preserve"> PAGE  \* MERGEFORMAT </w:instrText>
                </w:r>
                <w:r>
                  <w:rPr>
                    <w:rFonts w:ascii="Times New Roman" w:hAnsi="Times New Roman" w:cs="Times New Roman"/>
                    <w:szCs w:val="21"/>
                  </w:rPr>
                  <w:fldChar w:fldCharType="separate"/>
                </w:r>
                <w:r w:rsidR="00197E9E">
                  <w:rPr>
                    <w:rFonts w:ascii="Times New Roman" w:hAnsi="Times New Roman" w:cs="Times New Roman"/>
                    <w:noProof/>
                    <w:szCs w:val="21"/>
                  </w:rPr>
                  <w:t>1</w:t>
                </w:r>
                <w:r>
                  <w:rPr>
                    <w:rFonts w:ascii="Times New Roman" w:hAnsi="Times New Roman" w:cs="Times New Roman"/>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CFF" w:rsidRDefault="007B3CFF" w:rsidP="008E08BD">
      <w:r>
        <w:separator/>
      </w:r>
    </w:p>
  </w:footnote>
  <w:footnote w:type="continuationSeparator" w:id="1">
    <w:p w:rsidR="007B3CFF" w:rsidRDefault="007B3CFF" w:rsidP="008E0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85B629A"/>
    <w:rsid w:val="00197E9E"/>
    <w:rsid w:val="007B3CFF"/>
    <w:rsid w:val="008E08BD"/>
    <w:rsid w:val="01A8279D"/>
    <w:rsid w:val="05135872"/>
    <w:rsid w:val="072F7C3B"/>
    <w:rsid w:val="186B6E9C"/>
    <w:rsid w:val="19FE3D29"/>
    <w:rsid w:val="1A266D66"/>
    <w:rsid w:val="215C4A7B"/>
    <w:rsid w:val="21751FC3"/>
    <w:rsid w:val="227446A9"/>
    <w:rsid w:val="231C7754"/>
    <w:rsid w:val="267F18DB"/>
    <w:rsid w:val="2C192DFA"/>
    <w:rsid w:val="30207CE4"/>
    <w:rsid w:val="33F86BD7"/>
    <w:rsid w:val="349423BB"/>
    <w:rsid w:val="36332FB1"/>
    <w:rsid w:val="36B31E5D"/>
    <w:rsid w:val="3B5C6230"/>
    <w:rsid w:val="3EE444D2"/>
    <w:rsid w:val="3F4F6979"/>
    <w:rsid w:val="43C81811"/>
    <w:rsid w:val="43F94AE3"/>
    <w:rsid w:val="45261B5F"/>
    <w:rsid w:val="46092DAF"/>
    <w:rsid w:val="466662CD"/>
    <w:rsid w:val="485B629A"/>
    <w:rsid w:val="48BD05D5"/>
    <w:rsid w:val="4EA31725"/>
    <w:rsid w:val="4EFC2906"/>
    <w:rsid w:val="51E317E5"/>
    <w:rsid w:val="570B3F2E"/>
    <w:rsid w:val="5A1F7258"/>
    <w:rsid w:val="5EA066BD"/>
    <w:rsid w:val="5EB62871"/>
    <w:rsid w:val="61FA5D2D"/>
    <w:rsid w:val="648B377E"/>
    <w:rsid w:val="666007B9"/>
    <w:rsid w:val="69877C40"/>
    <w:rsid w:val="6EB801FA"/>
    <w:rsid w:val="6F9A501B"/>
    <w:rsid w:val="70C72AD2"/>
    <w:rsid w:val="71874F7B"/>
    <w:rsid w:val="738A57A1"/>
    <w:rsid w:val="73D94079"/>
    <w:rsid w:val="751F75D4"/>
    <w:rsid w:val="7B820691"/>
    <w:rsid w:val="7C060A85"/>
    <w:rsid w:val="7ECF5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8B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E08BD"/>
    <w:pPr>
      <w:tabs>
        <w:tab w:val="center" w:pos="4153"/>
        <w:tab w:val="right" w:pos="8306"/>
      </w:tabs>
      <w:snapToGrid w:val="0"/>
      <w:jc w:val="left"/>
    </w:pPr>
    <w:rPr>
      <w:sz w:val="18"/>
    </w:rPr>
  </w:style>
  <w:style w:type="paragraph" w:styleId="a4">
    <w:name w:val="header"/>
    <w:basedOn w:val="a"/>
    <w:qFormat/>
    <w:rsid w:val="008E08B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8E08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8E08BD"/>
    <w:rPr>
      <w:rFonts w:ascii="宋体" w:eastAsia="宋体" w:hAnsi="宋体" w:cs="宋体" w:hint="eastAsia"/>
      <w:color w:val="000000"/>
      <w:sz w:val="21"/>
      <w:szCs w:val="21"/>
      <w:u w:val="none"/>
    </w:rPr>
  </w:style>
  <w:style w:type="character" w:customStyle="1" w:styleId="font121">
    <w:name w:val="font121"/>
    <w:basedOn w:val="a0"/>
    <w:qFormat/>
    <w:rsid w:val="008E08BD"/>
    <w:rPr>
      <w:rFonts w:ascii="宋体" w:eastAsia="宋体" w:hAnsi="宋体" w:cs="宋体" w:hint="eastAsia"/>
      <w:color w:val="FF0000"/>
      <w:sz w:val="21"/>
      <w:szCs w:val="21"/>
      <w:u w:val="none"/>
    </w:rPr>
  </w:style>
  <w:style w:type="character" w:customStyle="1" w:styleId="font51">
    <w:name w:val="font51"/>
    <w:basedOn w:val="a0"/>
    <w:qFormat/>
    <w:rsid w:val="008E08BD"/>
    <w:rPr>
      <w:rFonts w:ascii="宋体" w:eastAsia="宋体" w:hAnsi="宋体" w:cs="宋体" w:hint="eastAsia"/>
      <w:color w:val="000000"/>
      <w:sz w:val="22"/>
      <w:szCs w:val="22"/>
      <w:u w:val="none"/>
    </w:rPr>
  </w:style>
  <w:style w:type="character" w:customStyle="1" w:styleId="font131">
    <w:name w:val="font131"/>
    <w:basedOn w:val="a0"/>
    <w:qFormat/>
    <w:rsid w:val="008E08BD"/>
    <w:rPr>
      <w:rFonts w:ascii="宋体" w:eastAsia="宋体" w:hAnsi="宋体" w:cs="宋体" w:hint="eastAsia"/>
      <w:color w:val="FF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2716</Words>
  <Characters>15484</Characters>
  <Application>Microsoft Office Word</Application>
  <DocSecurity>0</DocSecurity>
  <Lines>129</Lines>
  <Paragraphs>36</Paragraphs>
  <ScaleCrop>false</ScaleCrop>
  <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???(yett.msxzc)</dc:creator>
  <cp:lastModifiedBy>PC</cp:lastModifiedBy>
  <cp:revision>2</cp:revision>
  <cp:lastPrinted>2021-02-07T01:34:00Z</cp:lastPrinted>
  <dcterms:created xsi:type="dcterms:W3CDTF">2021-04-07T07:39:00Z</dcterms:created>
  <dcterms:modified xsi:type="dcterms:W3CDTF">2021-04-07T07:39:00Z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