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snapToGrid w:val="0"/>
        <w:spacing w:line="360" w:lineRule="auto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常山县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审计局执法法律法规依据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一、《中华人民共和国审计法》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二、《中华人民共和国审计法实施条例》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三、《浙江省审计条例》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0AD"/>
    <w:rsid w:val="003D5DDF"/>
    <w:rsid w:val="006A382E"/>
    <w:rsid w:val="00AA54B5"/>
    <w:rsid w:val="00D430AD"/>
    <w:rsid w:val="00D90E3A"/>
    <w:rsid w:val="6B1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iPriority w:val="0"/>
    <w:rPr>
      <w:rFonts w:ascii="Calibri" w:hAnsi="Calibri" w:eastAsia="宋体" w:cs="Times New Roman"/>
      <w:szCs w:val="21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</Words>
  <Characters>54</Characters>
  <Lines>1</Lines>
  <Paragraphs>1</Paragraphs>
  <TotalTime>3</TotalTime>
  <ScaleCrop>false</ScaleCrop>
  <LinksUpToDate>false</LinksUpToDate>
  <CharactersWithSpaces>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2020-09-10T07:27:00Z</dcterms:created>
  <dc:creator>占伟琼</dc:creator>
  <cp:lastModifiedBy>蒋鹭</cp:lastModifiedBy>
  <dcterms:modified xsi:type="dcterms:W3CDTF">2020-11-03T00:40:44Z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